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9648" w14:textId="6EDE68B8" w:rsidR="00C65650" w:rsidRDefault="00C65650" w:rsidP="00BC442D">
      <w:pPr>
        <w:rPr>
          <w:rFonts w:ascii="Arial" w:hAnsi="Arial" w:cs="Arial"/>
          <w:b/>
          <w:bCs/>
          <w:color w:val="002060"/>
          <w:sz w:val="40"/>
          <w:szCs w:val="40"/>
          <w:lang w:val="en-US"/>
          <w14:ligatures w14:val="none"/>
        </w:rPr>
        <w:sectPr w:rsidR="00C65650" w:rsidSect="00CA55E3">
          <w:footerReference w:type="default" r:id="rId8"/>
          <w:pgSz w:w="23811" w:h="16838" w:orient="landscape" w:code="8"/>
          <w:pgMar w:top="288" w:right="720" w:bottom="720" w:left="720" w:header="288" w:footer="288" w:gutter="0"/>
          <w:cols w:space="708"/>
          <w:docGrid w:linePitch="360"/>
        </w:sectPr>
      </w:pPr>
      <w:r>
        <w:rPr>
          <w:rFonts w:ascii="Arial" w:hAnsi="Arial" w:cs="Arial"/>
          <w:b/>
          <w:bCs/>
          <w:noProof/>
          <w:color w:val="002060"/>
          <w:sz w:val="40"/>
          <w:szCs w:val="40"/>
          <w:lang w:val="en-US"/>
        </w:rPr>
        <w:drawing>
          <wp:anchor distT="0" distB="0" distL="114300" distR="114300" simplePos="0" relativeHeight="251658240" behindDoc="1" locked="0" layoutInCell="1" allowOverlap="1" wp14:anchorId="65643C06" wp14:editId="196B786D">
            <wp:simplePos x="0" y="0"/>
            <wp:positionH relativeFrom="page">
              <wp:posOffset>0</wp:posOffset>
            </wp:positionH>
            <wp:positionV relativeFrom="page">
              <wp:posOffset>0</wp:posOffset>
            </wp:positionV>
            <wp:extent cx="15120000" cy="1080000"/>
            <wp:effectExtent l="0" t="0" r="0" b="0"/>
            <wp:wrapNone/>
            <wp:docPr id="151632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23955" name="Picture 15163239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0000" cy="1080000"/>
                    </a:xfrm>
                    <a:prstGeom prst="rect">
                      <a:avLst/>
                    </a:prstGeom>
                  </pic:spPr>
                </pic:pic>
              </a:graphicData>
            </a:graphic>
            <wp14:sizeRelH relativeFrom="page">
              <wp14:pctWidth>0</wp14:pctWidth>
            </wp14:sizeRelH>
            <wp14:sizeRelV relativeFrom="page">
              <wp14:pctHeight>0</wp14:pctHeight>
            </wp14:sizeRelV>
          </wp:anchor>
        </w:drawing>
      </w:r>
    </w:p>
    <w:p w14:paraId="126F6F3D" w14:textId="77777777" w:rsidR="00C65650" w:rsidRDefault="00C65650" w:rsidP="00BC442D">
      <w:pPr>
        <w:rPr>
          <w:rFonts w:ascii="Arial" w:hAnsi="Arial" w:cs="Arial"/>
          <w:b/>
          <w:bCs/>
          <w:color w:val="002060"/>
          <w:sz w:val="40"/>
          <w:szCs w:val="40"/>
          <w:lang w:val="en-US"/>
          <w14:ligatures w14:val="none"/>
        </w:rPr>
      </w:pPr>
    </w:p>
    <w:p w14:paraId="40B17267" w14:textId="77777777" w:rsidR="00C65650" w:rsidRDefault="00C65650" w:rsidP="00DC3AED">
      <w:pPr>
        <w:spacing w:after="120"/>
        <w:rPr>
          <w:rFonts w:ascii="Arial" w:hAnsi="Arial" w:cs="Arial"/>
          <w:b/>
          <w:bCs/>
          <w:color w:val="002060"/>
          <w:sz w:val="40"/>
          <w:szCs w:val="40"/>
          <w:lang w:val="en-US"/>
          <w14:ligatures w14:val="none"/>
        </w:rPr>
      </w:pPr>
    </w:p>
    <w:p w14:paraId="4399CA0B" w14:textId="7EBAAFB9" w:rsidR="00BC442D" w:rsidRPr="00C65650" w:rsidRDefault="0070235C" w:rsidP="00BC442D">
      <w:pPr>
        <w:rPr>
          <w:rFonts w:ascii="Arial" w:hAnsi="Arial" w:cs="Arial"/>
          <w:b/>
          <w:bCs/>
          <w:color w:val="002060"/>
          <w:sz w:val="40"/>
          <w:szCs w:val="40"/>
          <w:lang w:val="en-US"/>
          <w14:ligatures w14:val="none"/>
        </w:rPr>
      </w:pPr>
      <w:r w:rsidRPr="006B581A">
        <w:rPr>
          <w:rFonts w:ascii="Arial" w:hAnsi="Arial" w:cs="Arial"/>
          <w:b/>
          <w:bCs/>
          <w:color w:val="002060"/>
          <w:sz w:val="40"/>
          <w:szCs w:val="40"/>
          <w:lang w:val="en-US"/>
          <w14:ligatures w14:val="none"/>
        </w:rPr>
        <w:t xml:space="preserve">Examples of </w:t>
      </w:r>
      <w:r w:rsidR="009479B2">
        <w:rPr>
          <w:rFonts w:ascii="Arial" w:hAnsi="Arial" w:cs="Arial"/>
          <w:b/>
          <w:bCs/>
          <w:color w:val="002060"/>
          <w:sz w:val="40"/>
          <w:szCs w:val="40"/>
          <w:lang w:val="en-US"/>
          <w14:ligatures w14:val="none"/>
        </w:rPr>
        <w:t>client</w:t>
      </w:r>
      <w:r w:rsidRPr="006B581A">
        <w:rPr>
          <w:rFonts w:ascii="Arial" w:hAnsi="Arial" w:cs="Arial"/>
          <w:b/>
          <w:bCs/>
          <w:color w:val="002060"/>
          <w:sz w:val="40"/>
          <w:szCs w:val="40"/>
          <w:lang w:val="en-US"/>
          <w14:ligatures w14:val="none"/>
        </w:rPr>
        <w:t xml:space="preserve"> risk </w:t>
      </w:r>
      <w:r w:rsidR="00682261" w:rsidRPr="006B581A">
        <w:rPr>
          <w:rFonts w:ascii="Arial" w:hAnsi="Arial" w:cs="Arial"/>
          <w:b/>
          <w:bCs/>
          <w:color w:val="002060"/>
          <w:sz w:val="40"/>
          <w:szCs w:val="40"/>
          <w:lang w:val="en-US"/>
          <w14:ligatures w14:val="none"/>
        </w:rPr>
        <w:t xml:space="preserve">assessment </w:t>
      </w:r>
      <w:r w:rsidR="00286943">
        <w:rPr>
          <w:rFonts w:ascii="Arial" w:hAnsi="Arial" w:cs="Arial"/>
          <w:b/>
          <w:bCs/>
          <w:color w:val="002060"/>
          <w:sz w:val="40"/>
          <w:szCs w:val="40"/>
          <w:lang w:val="en-US"/>
          <w14:ligatures w14:val="none"/>
        </w:rPr>
        <w:t>factors</w:t>
      </w:r>
      <w:r w:rsidRPr="006B581A">
        <w:rPr>
          <w:rFonts w:ascii="Arial" w:hAnsi="Arial" w:cs="Arial"/>
          <w:b/>
          <w:bCs/>
          <w:color w:val="002060"/>
          <w:sz w:val="40"/>
          <w:szCs w:val="40"/>
          <w:lang w:val="en-US"/>
          <w14:ligatures w14:val="none"/>
        </w:rPr>
        <w:t xml:space="preserve"> </w:t>
      </w:r>
      <w:r w:rsidR="005C6FD7" w:rsidRPr="006B581A">
        <w:rPr>
          <w:rFonts w:ascii="Arial" w:hAnsi="Arial" w:cs="Arial"/>
          <w:b/>
          <w:bCs/>
          <w:color w:val="002060"/>
          <w:sz w:val="40"/>
          <w:szCs w:val="40"/>
          <w:lang w:val="en-US"/>
          <w14:ligatures w14:val="none"/>
        </w:rPr>
        <w:t xml:space="preserve">– </w:t>
      </w:r>
      <w:r w:rsidR="00BC442D">
        <w:rPr>
          <w:rFonts w:ascii="Arial" w:hAnsi="Arial" w:cs="Arial"/>
          <w:b/>
          <w:bCs/>
          <w:color w:val="002060"/>
          <w:sz w:val="40"/>
          <w:szCs w:val="40"/>
          <w:lang w:val="en-US"/>
          <w14:ligatures w14:val="none"/>
        </w:rPr>
        <w:t xml:space="preserve">Body </w:t>
      </w:r>
      <w:r w:rsidR="00532BBC">
        <w:rPr>
          <w:rFonts w:ascii="Arial" w:hAnsi="Arial" w:cs="Arial"/>
          <w:b/>
          <w:bCs/>
          <w:color w:val="002060"/>
          <w:sz w:val="40"/>
          <w:szCs w:val="40"/>
          <w:lang w:val="en-US"/>
          <w14:ligatures w14:val="none"/>
        </w:rPr>
        <w:t>c</w:t>
      </w:r>
      <w:r w:rsidR="00BC442D">
        <w:rPr>
          <w:rFonts w:ascii="Arial" w:hAnsi="Arial" w:cs="Arial"/>
          <w:b/>
          <w:bCs/>
          <w:color w:val="002060"/>
          <w:sz w:val="40"/>
          <w:szCs w:val="40"/>
          <w:lang w:val="en-US"/>
          <w14:ligatures w14:val="none"/>
        </w:rPr>
        <w:t xml:space="preserve">orporate or </w:t>
      </w:r>
      <w:r w:rsidR="00532BBC">
        <w:rPr>
          <w:rFonts w:ascii="Arial" w:hAnsi="Arial" w:cs="Arial"/>
          <w:b/>
          <w:bCs/>
          <w:color w:val="002060"/>
          <w:sz w:val="40"/>
          <w:szCs w:val="40"/>
          <w:lang w:val="en-US"/>
          <w14:ligatures w14:val="none"/>
        </w:rPr>
        <w:t>l</w:t>
      </w:r>
      <w:r w:rsidR="00BC442D">
        <w:rPr>
          <w:rFonts w:ascii="Arial" w:hAnsi="Arial" w:cs="Arial"/>
          <w:b/>
          <w:bCs/>
          <w:color w:val="002060"/>
          <w:sz w:val="40"/>
          <w:szCs w:val="40"/>
          <w:lang w:val="en-US"/>
          <w14:ligatures w14:val="none"/>
        </w:rPr>
        <w:t xml:space="preserve">egal </w:t>
      </w:r>
      <w:r w:rsidR="00532BBC">
        <w:rPr>
          <w:rFonts w:ascii="Arial" w:hAnsi="Arial" w:cs="Arial"/>
          <w:b/>
          <w:bCs/>
          <w:color w:val="002060"/>
          <w:sz w:val="40"/>
          <w:szCs w:val="40"/>
          <w:lang w:val="en-US"/>
          <w14:ligatures w14:val="none"/>
        </w:rPr>
        <w:t>a</w:t>
      </w:r>
      <w:r w:rsidR="00BC442D">
        <w:rPr>
          <w:rFonts w:ascii="Arial" w:hAnsi="Arial" w:cs="Arial"/>
          <w:b/>
          <w:bCs/>
          <w:color w:val="002060"/>
          <w:sz w:val="40"/>
          <w:szCs w:val="40"/>
          <w:lang w:val="en-US"/>
          <w14:ligatures w14:val="none"/>
        </w:rPr>
        <w:t>rrangement</w:t>
      </w:r>
      <w:r w:rsidR="00BC442D" w:rsidRPr="006B581A">
        <w:rPr>
          <w:rFonts w:ascii="Arial" w:hAnsi="Arial" w:cs="Arial"/>
          <w:b/>
          <w:bCs/>
          <w:color w:val="002060"/>
          <w:sz w:val="40"/>
          <w:szCs w:val="40"/>
          <w:lang w:val="en-US"/>
          <w14:ligatures w14:val="none"/>
        </w:rPr>
        <w:t xml:space="preserve"> </w:t>
      </w:r>
      <w:r w:rsidR="00532BBC">
        <w:rPr>
          <w:rFonts w:ascii="Arial" w:hAnsi="Arial" w:cs="Arial"/>
          <w:b/>
          <w:bCs/>
          <w:color w:val="002060"/>
          <w:sz w:val="40"/>
          <w:szCs w:val="40"/>
          <w:lang w:val="en-US"/>
          <w14:ligatures w14:val="none"/>
        </w:rPr>
        <w:t>t</w:t>
      </w:r>
      <w:r w:rsidR="00BC442D">
        <w:rPr>
          <w:rFonts w:ascii="Arial" w:hAnsi="Arial" w:cs="Arial"/>
          <w:b/>
          <w:bCs/>
          <w:color w:val="002060"/>
          <w:sz w:val="40"/>
          <w:szCs w:val="40"/>
          <w:lang w:val="en-US"/>
          <w14:ligatures w14:val="none"/>
        </w:rPr>
        <w:t>ransaction</w:t>
      </w:r>
    </w:p>
    <w:p w14:paraId="5F90084B" w14:textId="6B51278B" w:rsidR="00080B4C" w:rsidRPr="00C65650" w:rsidRDefault="00C65650" w:rsidP="00044674">
      <w:pPr>
        <w:rPr>
          <w:rFonts w:ascii="Arial" w:hAnsi="Arial" w:cs="Arial"/>
        </w:rPr>
      </w:pPr>
      <w:r w:rsidRPr="00C65650">
        <w:rPr>
          <w:rFonts w:ascii="Arial" w:hAnsi="Arial" w:cs="Arial"/>
        </w:rPr>
        <w:t xml:space="preserve">The following are </w:t>
      </w:r>
      <w:r w:rsidRPr="00C65650">
        <w:rPr>
          <w:rFonts w:ascii="Arial" w:hAnsi="Arial" w:cs="Arial"/>
          <w:b/>
          <w:bCs/>
        </w:rPr>
        <w:t>illustrative examples</w:t>
      </w:r>
      <w:r w:rsidRPr="00C65650">
        <w:rPr>
          <w:rFonts w:ascii="Arial" w:hAnsi="Arial" w:cs="Arial"/>
        </w:rPr>
        <w:t xml:space="preserve"> of how to assess client risks to determine what level of due diligence should be applied. These examples are based on </w:t>
      </w:r>
      <w:hyperlink r:id="rId10" w:history="1">
        <w:r w:rsidRPr="00C65650">
          <w:rPr>
            <w:rStyle w:val="Hyperlink"/>
            <w:rFonts w:ascii="Arial" w:hAnsi="Arial" w:cs="Arial"/>
          </w:rPr>
          <w:t>AUSTRAC guidance</w:t>
        </w:r>
      </w:hyperlink>
      <w:r w:rsidRPr="00C65650">
        <w:rPr>
          <w:rFonts w:ascii="Arial" w:hAnsi="Arial" w:cs="Arial"/>
        </w:rPr>
        <w:t xml:space="preserve"> </w:t>
      </w:r>
      <w:r>
        <w:rPr>
          <w:rFonts w:ascii="Arial" w:hAnsi="Arial" w:cs="Arial"/>
        </w:rPr>
        <w:br/>
      </w:r>
      <w:r w:rsidRPr="00C65650">
        <w:rPr>
          <w:rFonts w:ascii="Arial" w:hAnsi="Arial" w:cs="Arial"/>
        </w:rPr>
        <w:t xml:space="preserve">and established ML/TF risk factors associated with planning, execution, acting in a transaction to buy, sell or transfer a body corporate or legal arrangement. They are </w:t>
      </w:r>
      <w:r w:rsidRPr="00C65650">
        <w:rPr>
          <w:rFonts w:ascii="Arial" w:hAnsi="Arial" w:cs="Arial"/>
          <w:b/>
          <w:bCs/>
        </w:rPr>
        <w:t>not exhaustive</w:t>
      </w:r>
      <w:r w:rsidRPr="00C65650">
        <w:rPr>
          <w:rFonts w:ascii="Arial" w:hAnsi="Arial" w:cs="Arial"/>
        </w:rPr>
        <w:t>.</w:t>
      </w:r>
    </w:p>
    <w:tbl>
      <w:tblPr>
        <w:tblStyle w:val="TableGrid"/>
        <w:tblpPr w:leftFromText="180" w:rightFromText="180" w:vertAnchor="text" w:horzAnchor="page" w:tblpX="319" w:tblpY="47"/>
        <w:tblW w:w="7830" w:type="dxa"/>
        <w:tblLook w:val="04A0" w:firstRow="1" w:lastRow="0" w:firstColumn="1" w:lastColumn="0" w:noHBand="0" w:noVBand="1"/>
      </w:tblPr>
      <w:tblGrid>
        <w:gridCol w:w="1440"/>
        <w:gridCol w:w="1716"/>
        <w:gridCol w:w="1981"/>
        <w:gridCol w:w="2693"/>
      </w:tblGrid>
      <w:tr w:rsidR="00A11FEF" w:rsidRPr="00453C15" w14:paraId="0DB35C0F" w14:textId="77777777" w:rsidTr="00A11FEF">
        <w:trPr>
          <w:trHeight w:val="300"/>
        </w:trPr>
        <w:tc>
          <w:tcPr>
            <w:tcW w:w="7830" w:type="dxa"/>
            <w:gridSpan w:val="4"/>
            <w:tcBorders>
              <w:top w:val="nil"/>
              <w:left w:val="nil"/>
              <w:bottom w:val="nil"/>
              <w:right w:val="nil"/>
            </w:tcBorders>
            <w:vAlign w:val="center"/>
          </w:tcPr>
          <w:p w14:paraId="15EC180E" w14:textId="789C0B15" w:rsidR="00A11FEF" w:rsidRPr="00C65650" w:rsidRDefault="00A11FEF" w:rsidP="00C65650">
            <w:pPr>
              <w:spacing w:before="120"/>
              <w:jc w:val="center"/>
              <w:rPr>
                <w:rFonts w:ascii="Arial" w:hAnsi="Arial" w:cs="Arial"/>
                <w:b/>
                <w:bCs/>
                <w:color w:val="002060"/>
                <w:sz w:val="24"/>
                <w:szCs w:val="24"/>
              </w:rPr>
            </w:pPr>
            <w:r w:rsidRPr="00C65650">
              <w:rPr>
                <w:rFonts w:ascii="Arial" w:hAnsi="Arial" w:cs="Arial"/>
                <w:b/>
                <w:bCs/>
                <w:color w:val="002060"/>
                <w:sz w:val="24"/>
                <w:szCs w:val="24"/>
              </w:rPr>
              <w:t>Service Factors</w:t>
            </w:r>
          </w:p>
          <w:p w14:paraId="1D63835E" w14:textId="1562146D" w:rsidR="00A11FEF" w:rsidRPr="00C65650" w:rsidRDefault="00A11FEF" w:rsidP="00C65650">
            <w:pPr>
              <w:jc w:val="center"/>
              <w:rPr>
                <w:rFonts w:ascii="Arial" w:hAnsi="Arial" w:cs="Arial"/>
                <w:sz w:val="18"/>
                <w:szCs w:val="18"/>
              </w:rPr>
            </w:pPr>
            <w:r w:rsidRPr="00C65650">
              <w:rPr>
                <w:rFonts w:ascii="Arial" w:hAnsi="Arial" w:cs="Arial"/>
                <w:color w:val="EE0000"/>
                <w:sz w:val="24"/>
                <w:szCs w:val="24"/>
              </w:rPr>
              <w:t>(EXAMPLES ONLY)</w:t>
            </w:r>
          </w:p>
        </w:tc>
      </w:tr>
      <w:tr w:rsidR="00A11FEF" w:rsidRPr="00453C15" w14:paraId="22C6573E" w14:textId="77777777" w:rsidTr="00A11FEF">
        <w:trPr>
          <w:trHeight w:val="300"/>
        </w:trPr>
        <w:tc>
          <w:tcPr>
            <w:tcW w:w="1440" w:type="dxa"/>
            <w:tcBorders>
              <w:top w:val="nil"/>
              <w:left w:val="nil"/>
              <w:bottom w:val="nil"/>
              <w:right w:val="single" w:sz="4" w:space="0" w:color="auto"/>
            </w:tcBorders>
            <w:vAlign w:val="center"/>
          </w:tcPr>
          <w:p w14:paraId="0E4E1858" w14:textId="77777777" w:rsidR="00A11FEF" w:rsidRPr="00453C15" w:rsidRDefault="00A11FEF" w:rsidP="00A11FEF">
            <w:pPr>
              <w:rPr>
                <w:sz w:val="18"/>
                <w:szCs w:val="18"/>
              </w:rPr>
            </w:pPr>
          </w:p>
        </w:tc>
        <w:tc>
          <w:tcPr>
            <w:tcW w:w="1716" w:type="dxa"/>
            <w:tcBorders>
              <w:top w:val="single" w:sz="4" w:space="0" w:color="auto"/>
              <w:left w:val="single" w:sz="4" w:space="0" w:color="auto"/>
            </w:tcBorders>
            <w:shd w:val="clear" w:color="auto" w:fill="78BE20" w:themeFill="accent3"/>
            <w:vAlign w:val="center"/>
          </w:tcPr>
          <w:p w14:paraId="6508966C" w14:textId="77777777" w:rsidR="00A11FEF" w:rsidRPr="00C15EAA" w:rsidRDefault="00A11FEF" w:rsidP="00A11FEF">
            <w:pPr>
              <w:jc w:val="center"/>
              <w:rPr>
                <w:rFonts w:ascii="Arial" w:hAnsi="Arial" w:cs="Arial"/>
                <w:b/>
                <w:bCs/>
                <w:color w:val="FFFFFF" w:themeColor="background1"/>
                <w:sz w:val="20"/>
                <w:szCs w:val="20"/>
              </w:rPr>
            </w:pPr>
            <w:r w:rsidRPr="00C15EAA">
              <w:rPr>
                <w:rFonts w:ascii="Arial" w:hAnsi="Arial" w:cs="Arial"/>
                <w:b/>
                <w:bCs/>
                <w:color w:val="FFFFFF" w:themeColor="background1"/>
                <w:sz w:val="20"/>
                <w:szCs w:val="20"/>
              </w:rPr>
              <w:t xml:space="preserve"> Low </w:t>
            </w:r>
          </w:p>
        </w:tc>
        <w:tc>
          <w:tcPr>
            <w:tcW w:w="1981" w:type="dxa"/>
            <w:tcBorders>
              <w:top w:val="single" w:sz="4" w:space="0" w:color="auto"/>
            </w:tcBorders>
            <w:shd w:val="clear" w:color="auto" w:fill="E6AF00"/>
            <w:vAlign w:val="center"/>
          </w:tcPr>
          <w:p w14:paraId="157F9EC1" w14:textId="77777777" w:rsidR="00A11FEF" w:rsidRPr="00C15EAA" w:rsidRDefault="00A11FEF" w:rsidP="00A11FEF">
            <w:pPr>
              <w:jc w:val="center"/>
              <w:rPr>
                <w:rFonts w:ascii="Arial" w:hAnsi="Arial" w:cs="Arial"/>
                <w:b/>
                <w:bCs/>
                <w:color w:val="FFFFFF" w:themeColor="background1"/>
                <w:sz w:val="20"/>
                <w:szCs w:val="20"/>
              </w:rPr>
            </w:pPr>
            <w:r w:rsidRPr="00C15EAA">
              <w:rPr>
                <w:rFonts w:ascii="Arial" w:hAnsi="Arial" w:cs="Arial"/>
                <w:b/>
                <w:bCs/>
                <w:color w:val="FFFFFF" w:themeColor="background1"/>
                <w:sz w:val="20"/>
                <w:szCs w:val="20"/>
              </w:rPr>
              <w:t xml:space="preserve">Medium </w:t>
            </w:r>
          </w:p>
        </w:tc>
        <w:tc>
          <w:tcPr>
            <w:tcW w:w="2693" w:type="dxa"/>
            <w:tcBorders>
              <w:top w:val="single" w:sz="4" w:space="0" w:color="auto"/>
            </w:tcBorders>
            <w:shd w:val="clear" w:color="auto" w:fill="C00000"/>
            <w:vAlign w:val="center"/>
          </w:tcPr>
          <w:p w14:paraId="5BFA0CB5" w14:textId="77777777" w:rsidR="00A11FEF" w:rsidRPr="00C15EAA" w:rsidRDefault="00A11FEF" w:rsidP="00A11FEF">
            <w:pPr>
              <w:jc w:val="center"/>
              <w:rPr>
                <w:rFonts w:ascii="Arial" w:hAnsi="Arial" w:cs="Arial"/>
                <w:b/>
                <w:bCs/>
                <w:sz w:val="20"/>
                <w:szCs w:val="20"/>
              </w:rPr>
            </w:pPr>
            <w:r w:rsidRPr="00C15EAA">
              <w:rPr>
                <w:rFonts w:ascii="Arial" w:hAnsi="Arial" w:cs="Arial"/>
                <w:b/>
                <w:bCs/>
                <w:sz w:val="20"/>
                <w:szCs w:val="20"/>
              </w:rPr>
              <w:t xml:space="preserve">High </w:t>
            </w:r>
          </w:p>
        </w:tc>
      </w:tr>
      <w:tr w:rsidR="00A60997" w:rsidRPr="00453C15" w14:paraId="6A1EE8C5" w14:textId="77777777" w:rsidTr="00A60997">
        <w:trPr>
          <w:trHeight w:val="2007"/>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DB70C" w14:textId="77777777" w:rsidR="00A60997" w:rsidRPr="00A62425" w:rsidRDefault="00A60997" w:rsidP="00A60997">
            <w:pPr>
              <w:rPr>
                <w:rFonts w:ascii="Arial" w:hAnsi="Arial" w:cs="Arial"/>
                <w:b/>
                <w:bCs/>
                <w:sz w:val="18"/>
                <w:szCs w:val="18"/>
              </w:rPr>
            </w:pPr>
            <w:r w:rsidRPr="00A62425">
              <w:rPr>
                <w:rFonts w:ascii="Arial" w:hAnsi="Arial" w:cs="Arial"/>
                <w:b/>
                <w:bCs/>
                <w:sz w:val="18"/>
                <w:szCs w:val="18"/>
              </w:rPr>
              <w:t>Nature of service</w:t>
            </w:r>
          </w:p>
        </w:tc>
        <w:tc>
          <w:tcPr>
            <w:tcW w:w="1716" w:type="dxa"/>
            <w:tcBorders>
              <w:left w:val="single" w:sz="4" w:space="0" w:color="auto"/>
            </w:tcBorders>
          </w:tcPr>
          <w:p w14:paraId="6BC28C07" w14:textId="5AF44D15" w:rsidR="00A60997" w:rsidRPr="00771945" w:rsidRDefault="00A60997" w:rsidP="00A60997">
            <w:pPr>
              <w:spacing w:line="276" w:lineRule="auto"/>
              <w:rPr>
                <w:rFonts w:asciiTheme="majorHAnsi" w:hAnsiTheme="majorHAnsi" w:cs="Arial"/>
                <w:color w:val="000000" w:themeColor="text1"/>
                <w:sz w:val="16"/>
                <w:szCs w:val="16"/>
              </w:rPr>
            </w:pPr>
            <w:r w:rsidRPr="00771945">
              <w:rPr>
                <w:rFonts w:asciiTheme="majorHAnsi" w:hAnsiTheme="majorHAnsi" w:cs="Arial"/>
                <w:color w:val="000000" w:themeColor="text1"/>
                <w:sz w:val="18"/>
                <w:szCs w:val="18"/>
              </w:rPr>
              <w:t>Simple transfer with clear commercial purpose and standard documentation</w:t>
            </w:r>
          </w:p>
        </w:tc>
        <w:tc>
          <w:tcPr>
            <w:tcW w:w="1981" w:type="dxa"/>
          </w:tcPr>
          <w:p w14:paraId="33EE92BE" w14:textId="693E08A6" w:rsidR="00A60997" w:rsidRPr="00771945" w:rsidRDefault="00A60997" w:rsidP="00A60997">
            <w:pPr>
              <w:spacing w:line="276" w:lineRule="auto"/>
              <w:rPr>
                <w:rFonts w:asciiTheme="majorHAnsi" w:hAnsiTheme="majorHAnsi" w:cs="Arial"/>
                <w:color w:val="000000" w:themeColor="text1"/>
                <w:sz w:val="16"/>
                <w:szCs w:val="16"/>
              </w:rPr>
            </w:pPr>
            <w:r w:rsidRPr="00771945">
              <w:rPr>
                <w:rFonts w:asciiTheme="majorHAnsi" w:hAnsiTheme="majorHAnsi" w:cs="Arial"/>
                <w:color w:val="000000" w:themeColor="text1"/>
                <w:sz w:val="18"/>
                <w:szCs w:val="18"/>
              </w:rPr>
              <w:t xml:space="preserve">Moderately complex transfer requiring verification of multiple entities or steps, but not beyond what is expected for a legitimate transaction of this nature </w:t>
            </w:r>
          </w:p>
        </w:tc>
        <w:tc>
          <w:tcPr>
            <w:tcW w:w="2693" w:type="dxa"/>
          </w:tcPr>
          <w:p w14:paraId="6E3E6112" w14:textId="01CC81BF" w:rsidR="00A60997" w:rsidRPr="00771945" w:rsidRDefault="00A60997" w:rsidP="00A60997">
            <w:pPr>
              <w:rPr>
                <w:rFonts w:asciiTheme="majorHAnsi" w:hAnsiTheme="majorHAnsi" w:cs="Arial"/>
                <w:sz w:val="16"/>
                <w:szCs w:val="16"/>
              </w:rPr>
            </w:pPr>
            <w:r w:rsidRPr="00771945">
              <w:rPr>
                <w:rFonts w:asciiTheme="majorHAnsi" w:hAnsiTheme="majorHAnsi" w:cs="Arial"/>
                <w:color w:val="000000" w:themeColor="text1"/>
                <w:sz w:val="18"/>
                <w:szCs w:val="18"/>
              </w:rPr>
              <w:t>Complex transfer or restructure involving multiple entities, unusual steps or anonymity features (e.g. shell companies or opaque structures), entities in administration, risk of trading insolvent, phoenixing or transfers made prior to or during litigation</w:t>
            </w:r>
          </w:p>
        </w:tc>
      </w:tr>
      <w:tr w:rsidR="00CA55E3" w:rsidRPr="00453C15" w14:paraId="454ED058" w14:textId="77777777" w:rsidTr="00A60997">
        <w:trPr>
          <w:trHeight w:val="1158"/>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4C9DF" w14:textId="16A5BE42" w:rsidR="00CA55E3" w:rsidRPr="00A62425" w:rsidRDefault="00CA55E3" w:rsidP="00CA55E3">
            <w:pPr>
              <w:rPr>
                <w:rFonts w:ascii="Arial" w:hAnsi="Arial" w:cs="Arial"/>
                <w:b/>
                <w:bCs/>
                <w:sz w:val="18"/>
                <w:szCs w:val="18"/>
              </w:rPr>
            </w:pPr>
            <w:r w:rsidRPr="00A62425">
              <w:rPr>
                <w:rFonts w:ascii="Arial" w:hAnsi="Arial" w:cs="Arial"/>
                <w:b/>
                <w:bCs/>
                <w:sz w:val="18"/>
                <w:szCs w:val="18"/>
              </w:rPr>
              <w:t xml:space="preserve">Transaction value </w:t>
            </w:r>
          </w:p>
        </w:tc>
        <w:tc>
          <w:tcPr>
            <w:tcW w:w="1716" w:type="dxa"/>
            <w:tcBorders>
              <w:left w:val="single" w:sz="4" w:space="0" w:color="auto"/>
            </w:tcBorders>
          </w:tcPr>
          <w:p w14:paraId="045156F8" w14:textId="62713F0E" w:rsidR="00CA55E3" w:rsidRPr="00AF3C6C" w:rsidRDefault="00CA55E3" w:rsidP="00CA55E3">
            <w:pPr>
              <w:spacing w:before="60" w:line="276" w:lineRule="auto"/>
              <w:rPr>
                <w:rFonts w:asciiTheme="majorHAnsi" w:hAnsiTheme="majorHAnsi" w:cs="Arial"/>
                <w:color w:val="000000" w:themeColor="text1"/>
                <w:sz w:val="18"/>
                <w:szCs w:val="18"/>
              </w:rPr>
            </w:pPr>
            <w:r w:rsidRPr="00AF3C6C">
              <w:rPr>
                <w:rFonts w:asciiTheme="majorHAnsi" w:hAnsiTheme="majorHAnsi" w:cs="Arial"/>
                <w:color w:val="000000" w:themeColor="text1"/>
                <w:sz w:val="18"/>
                <w:szCs w:val="18"/>
              </w:rPr>
              <w:t>Consistent with client profile and market norms</w:t>
            </w:r>
          </w:p>
        </w:tc>
        <w:tc>
          <w:tcPr>
            <w:tcW w:w="1981" w:type="dxa"/>
          </w:tcPr>
          <w:p w14:paraId="3F820B3C" w14:textId="137E22A7" w:rsidR="00CA55E3" w:rsidRPr="00AF3C6C" w:rsidRDefault="00CA55E3" w:rsidP="00CA55E3">
            <w:pPr>
              <w:spacing w:before="60" w:line="276" w:lineRule="auto"/>
              <w:rPr>
                <w:rFonts w:asciiTheme="majorHAnsi" w:hAnsiTheme="majorHAnsi" w:cs="Arial"/>
                <w:color w:val="000000" w:themeColor="text1"/>
                <w:sz w:val="18"/>
                <w:szCs w:val="18"/>
              </w:rPr>
            </w:pPr>
            <w:r w:rsidRPr="00AF3C6C">
              <w:rPr>
                <w:rFonts w:asciiTheme="majorHAnsi" w:hAnsiTheme="majorHAnsi" w:cs="Arial"/>
                <w:color w:val="000000" w:themeColor="text1"/>
                <w:sz w:val="18"/>
                <w:szCs w:val="18"/>
              </w:rPr>
              <w:t xml:space="preserve">Higher value, partially third-party funded or somewhat inconsistent with client profile </w:t>
            </w:r>
          </w:p>
        </w:tc>
        <w:tc>
          <w:tcPr>
            <w:tcW w:w="2693" w:type="dxa"/>
          </w:tcPr>
          <w:p w14:paraId="7AF5DDE7" w14:textId="1D9A285F" w:rsidR="00CA55E3" w:rsidRPr="00AF3C6C" w:rsidRDefault="00CA55E3" w:rsidP="00CA55E3">
            <w:pPr>
              <w:spacing w:before="60" w:line="276" w:lineRule="auto"/>
              <w:rPr>
                <w:rFonts w:asciiTheme="majorHAnsi" w:hAnsiTheme="majorHAnsi" w:cs="Arial"/>
                <w:color w:val="000000" w:themeColor="text1"/>
                <w:sz w:val="18"/>
                <w:szCs w:val="18"/>
              </w:rPr>
            </w:pPr>
            <w:r w:rsidRPr="00AF3C6C">
              <w:rPr>
                <w:rFonts w:asciiTheme="majorHAnsi" w:hAnsiTheme="majorHAnsi" w:cs="Arial"/>
                <w:color w:val="000000" w:themeColor="text1"/>
                <w:sz w:val="18"/>
                <w:szCs w:val="18"/>
              </w:rPr>
              <w:t>Disproportionate to client profile or market norms, unusual funding pattern or unclear commercial rationale</w:t>
            </w:r>
          </w:p>
        </w:tc>
      </w:tr>
      <w:tr w:rsidR="00A60997" w:rsidRPr="00453C15" w14:paraId="08447C9A" w14:textId="77777777" w:rsidTr="00A60997">
        <w:trPr>
          <w:trHeight w:val="1998"/>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B8952" w14:textId="77777777" w:rsidR="00A60997" w:rsidRPr="00A62425" w:rsidRDefault="00A60997" w:rsidP="00A60997">
            <w:pPr>
              <w:rPr>
                <w:rFonts w:ascii="Arial" w:hAnsi="Arial" w:cs="Arial"/>
                <w:b/>
                <w:bCs/>
                <w:sz w:val="18"/>
                <w:szCs w:val="18"/>
              </w:rPr>
            </w:pPr>
            <w:r w:rsidRPr="00A62425">
              <w:rPr>
                <w:rFonts w:ascii="Arial" w:hAnsi="Arial" w:cs="Arial"/>
                <w:b/>
                <w:bCs/>
                <w:sz w:val="18"/>
                <w:szCs w:val="18"/>
              </w:rPr>
              <w:t>Transaction complexity or concerns</w:t>
            </w:r>
          </w:p>
        </w:tc>
        <w:tc>
          <w:tcPr>
            <w:tcW w:w="1716" w:type="dxa"/>
            <w:tcBorders>
              <w:left w:val="single" w:sz="4" w:space="0" w:color="auto"/>
            </w:tcBorders>
          </w:tcPr>
          <w:p w14:paraId="4B7C239B" w14:textId="4CE1E216" w:rsidR="00A60997" w:rsidRPr="00771945" w:rsidRDefault="00A60997" w:rsidP="00A60997">
            <w:pPr>
              <w:spacing w:line="276" w:lineRule="auto"/>
              <w:rPr>
                <w:rFonts w:asciiTheme="majorHAnsi" w:hAnsiTheme="majorHAnsi" w:cs="Arial"/>
                <w:sz w:val="16"/>
                <w:szCs w:val="16"/>
              </w:rPr>
            </w:pPr>
            <w:r w:rsidRPr="00771945">
              <w:rPr>
                <w:rFonts w:asciiTheme="majorHAnsi" w:hAnsiTheme="majorHAnsi" w:cs="Arial"/>
                <w:sz w:val="18"/>
                <w:szCs w:val="18"/>
              </w:rPr>
              <w:t xml:space="preserve">Simple or infrequent transactions or standard contractual terms </w:t>
            </w:r>
          </w:p>
        </w:tc>
        <w:tc>
          <w:tcPr>
            <w:tcW w:w="1981" w:type="dxa"/>
          </w:tcPr>
          <w:p w14:paraId="79C67EB4" w14:textId="16352F1D" w:rsidR="00A60997" w:rsidRPr="00771945" w:rsidRDefault="00A60997" w:rsidP="00A60997">
            <w:pPr>
              <w:spacing w:line="276" w:lineRule="auto"/>
              <w:rPr>
                <w:rFonts w:asciiTheme="majorHAnsi" w:hAnsiTheme="majorHAnsi" w:cs="Arial"/>
                <w:sz w:val="16"/>
                <w:szCs w:val="16"/>
              </w:rPr>
            </w:pPr>
            <w:r w:rsidRPr="00771945">
              <w:rPr>
                <w:rFonts w:asciiTheme="majorHAnsi" w:hAnsiTheme="majorHAnsi" w:cs="Arial"/>
                <w:sz w:val="18"/>
                <w:szCs w:val="18"/>
              </w:rPr>
              <w:t>Complex transactions or contractual terms, multiple parties involved or some non-standard contractual terms or transaction between related parties</w:t>
            </w:r>
          </w:p>
        </w:tc>
        <w:tc>
          <w:tcPr>
            <w:tcW w:w="2693" w:type="dxa"/>
          </w:tcPr>
          <w:p w14:paraId="0E450103" w14:textId="685EF6EF" w:rsidR="00A60997" w:rsidRPr="00771945" w:rsidRDefault="00A60997" w:rsidP="00A60997">
            <w:pPr>
              <w:rPr>
                <w:rFonts w:asciiTheme="majorHAnsi" w:hAnsiTheme="majorHAnsi" w:cs="Arial"/>
                <w:sz w:val="16"/>
                <w:szCs w:val="16"/>
              </w:rPr>
            </w:pPr>
            <w:r w:rsidRPr="00771945">
              <w:rPr>
                <w:rFonts w:asciiTheme="majorHAnsi" w:hAnsiTheme="majorHAnsi" w:cs="Arial"/>
                <w:sz w:val="18"/>
                <w:szCs w:val="18"/>
              </w:rPr>
              <w:t>Unusual contractual terms, rapid resale, circular trading (e.g. via shell companies/subsidiaries), involvement of complex corporate/trust structures, parties involved with adverse media</w:t>
            </w:r>
            <w:r w:rsidR="00F03C46">
              <w:rPr>
                <w:rFonts w:asciiTheme="majorHAnsi" w:hAnsiTheme="majorHAnsi" w:cs="Arial"/>
                <w:sz w:val="18"/>
                <w:szCs w:val="18"/>
              </w:rPr>
              <w:t>,</w:t>
            </w:r>
            <w:r w:rsidRPr="00771945">
              <w:rPr>
                <w:rFonts w:asciiTheme="majorHAnsi" w:hAnsiTheme="majorHAnsi" w:cs="Arial"/>
                <w:sz w:val="18"/>
                <w:szCs w:val="18"/>
              </w:rPr>
              <w:t xml:space="preserve"> rapid sequential transactions, use of crypto currencies or cash</w:t>
            </w:r>
          </w:p>
        </w:tc>
      </w:tr>
      <w:tr w:rsidR="00A60997" w:rsidRPr="00453C15" w14:paraId="5534E30A" w14:textId="77777777" w:rsidTr="00A60997">
        <w:trPr>
          <w:trHeight w:val="1188"/>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CCF60" w14:textId="52089C35" w:rsidR="00A60997" w:rsidRPr="00A62425" w:rsidRDefault="00A60997" w:rsidP="00A60997">
            <w:pPr>
              <w:rPr>
                <w:rFonts w:ascii="Arial" w:hAnsi="Arial" w:cs="Arial"/>
                <w:b/>
                <w:bCs/>
                <w:sz w:val="18"/>
                <w:szCs w:val="18"/>
              </w:rPr>
            </w:pPr>
            <w:r w:rsidRPr="00A62425">
              <w:rPr>
                <w:rFonts w:ascii="Arial" w:hAnsi="Arial" w:cs="Arial"/>
                <w:b/>
                <w:bCs/>
                <w:sz w:val="18"/>
                <w:szCs w:val="18"/>
              </w:rPr>
              <w:t xml:space="preserve">Use of </w:t>
            </w:r>
            <w:r w:rsidR="00AA22E3">
              <w:rPr>
                <w:rFonts w:ascii="Arial" w:hAnsi="Arial" w:cs="Arial"/>
                <w:b/>
                <w:bCs/>
                <w:sz w:val="18"/>
                <w:szCs w:val="18"/>
              </w:rPr>
              <w:t>t</w:t>
            </w:r>
            <w:r w:rsidRPr="00A62425">
              <w:rPr>
                <w:rFonts w:ascii="Arial" w:hAnsi="Arial" w:cs="Arial"/>
                <w:b/>
                <w:bCs/>
                <w:sz w:val="18"/>
                <w:szCs w:val="18"/>
              </w:rPr>
              <w:t xml:space="preserve">rust </w:t>
            </w:r>
            <w:r w:rsidR="00AA22E3">
              <w:rPr>
                <w:rFonts w:ascii="Arial" w:hAnsi="Arial" w:cs="Arial"/>
                <w:b/>
                <w:bCs/>
                <w:sz w:val="18"/>
                <w:szCs w:val="18"/>
              </w:rPr>
              <w:t>a</w:t>
            </w:r>
            <w:r w:rsidRPr="00A62425">
              <w:rPr>
                <w:rFonts w:ascii="Arial" w:hAnsi="Arial" w:cs="Arial"/>
                <w:b/>
                <w:bCs/>
                <w:sz w:val="18"/>
                <w:szCs w:val="18"/>
              </w:rPr>
              <w:t>ccount</w:t>
            </w:r>
          </w:p>
        </w:tc>
        <w:tc>
          <w:tcPr>
            <w:tcW w:w="1716" w:type="dxa"/>
            <w:tcBorders>
              <w:left w:val="single" w:sz="4" w:space="0" w:color="auto"/>
            </w:tcBorders>
          </w:tcPr>
          <w:p w14:paraId="0134A1CF" w14:textId="2F5D7BAA" w:rsidR="00A60997" w:rsidRPr="00771945" w:rsidRDefault="00A60997" w:rsidP="00A60997">
            <w:pPr>
              <w:spacing w:line="276" w:lineRule="auto"/>
              <w:rPr>
                <w:rFonts w:asciiTheme="majorHAnsi" w:hAnsiTheme="majorHAnsi" w:cs="Arial"/>
                <w:sz w:val="18"/>
                <w:szCs w:val="18"/>
              </w:rPr>
            </w:pPr>
            <w:r w:rsidRPr="00771945">
              <w:rPr>
                <w:rFonts w:asciiTheme="majorHAnsi" w:hAnsiTheme="majorHAnsi" w:cs="Arial"/>
                <w:sz w:val="18"/>
                <w:szCs w:val="18"/>
              </w:rPr>
              <w:t>Minimal and routine (e.g</w:t>
            </w:r>
            <w:r w:rsidR="00C44ECE">
              <w:rPr>
                <w:rFonts w:asciiTheme="majorHAnsi" w:hAnsiTheme="majorHAnsi" w:cs="Arial"/>
                <w:sz w:val="18"/>
                <w:szCs w:val="18"/>
              </w:rPr>
              <w:t>.</w:t>
            </w:r>
            <w:r w:rsidRPr="00771945">
              <w:rPr>
                <w:rFonts w:asciiTheme="majorHAnsi" w:hAnsiTheme="majorHAnsi" w:cs="Arial"/>
                <w:sz w:val="18"/>
                <w:szCs w:val="18"/>
              </w:rPr>
              <w:t xml:space="preserve"> deposits of funds for fees, disbursements and straightforward settlement amounts</w:t>
            </w:r>
            <w:r w:rsidR="00F03C46">
              <w:rPr>
                <w:rFonts w:asciiTheme="majorHAnsi" w:hAnsiTheme="majorHAnsi" w:cs="Arial"/>
                <w:sz w:val="18"/>
                <w:szCs w:val="18"/>
              </w:rPr>
              <w:t>,</w:t>
            </w:r>
            <w:r w:rsidRPr="00771945">
              <w:rPr>
                <w:rFonts w:asciiTheme="majorHAnsi" w:hAnsiTheme="majorHAnsi" w:cs="Arial"/>
                <w:sz w:val="18"/>
                <w:szCs w:val="18"/>
              </w:rPr>
              <w:t xml:space="preserve"> etc.)</w:t>
            </w:r>
          </w:p>
          <w:p w14:paraId="575C6EE4" w14:textId="12E0B5F1" w:rsidR="00A60997" w:rsidRPr="00771945" w:rsidRDefault="00A60997" w:rsidP="00A60997">
            <w:pPr>
              <w:spacing w:before="60" w:line="276" w:lineRule="auto"/>
              <w:rPr>
                <w:rFonts w:asciiTheme="majorHAnsi" w:hAnsiTheme="majorHAnsi" w:cs="Arial"/>
                <w:sz w:val="16"/>
                <w:szCs w:val="16"/>
              </w:rPr>
            </w:pPr>
          </w:p>
        </w:tc>
        <w:tc>
          <w:tcPr>
            <w:tcW w:w="1981" w:type="dxa"/>
          </w:tcPr>
          <w:p w14:paraId="5B64D1C2" w14:textId="7B92B969" w:rsidR="00A60997" w:rsidRPr="00771945" w:rsidRDefault="00A60997" w:rsidP="00984341">
            <w:pPr>
              <w:spacing w:line="276" w:lineRule="auto"/>
              <w:rPr>
                <w:rFonts w:asciiTheme="majorHAnsi" w:hAnsiTheme="majorHAnsi" w:cs="Arial"/>
                <w:sz w:val="16"/>
                <w:szCs w:val="16"/>
              </w:rPr>
            </w:pPr>
            <w:r w:rsidRPr="00771945">
              <w:rPr>
                <w:rFonts w:asciiTheme="majorHAnsi" w:hAnsiTheme="majorHAnsi" w:cs="Arial"/>
                <w:sz w:val="18"/>
                <w:szCs w:val="18"/>
              </w:rPr>
              <w:t>Moderate but reasonable (e.g. holding funds for overlapping or linked settlements, deposits or top-up</w:t>
            </w:r>
            <w:r w:rsidR="00F00A92">
              <w:rPr>
                <w:rFonts w:asciiTheme="majorHAnsi" w:hAnsiTheme="majorHAnsi" w:cs="Arial"/>
                <w:sz w:val="18"/>
                <w:szCs w:val="18"/>
              </w:rPr>
              <w:t>s</w:t>
            </w:r>
            <w:r w:rsidRPr="00771945">
              <w:rPr>
                <w:rFonts w:asciiTheme="majorHAnsi" w:hAnsiTheme="majorHAnsi" w:cs="Arial"/>
                <w:sz w:val="18"/>
                <w:szCs w:val="18"/>
              </w:rPr>
              <w:t xml:space="preserve"> relating to contractual variations, bridging finance timing gaps</w:t>
            </w:r>
            <w:r w:rsidR="00F00A92">
              <w:rPr>
                <w:rFonts w:asciiTheme="majorHAnsi" w:hAnsiTheme="majorHAnsi" w:cs="Arial"/>
                <w:sz w:val="18"/>
                <w:szCs w:val="18"/>
              </w:rPr>
              <w:t>,</w:t>
            </w:r>
            <w:r w:rsidRPr="00771945">
              <w:rPr>
                <w:rFonts w:asciiTheme="majorHAnsi" w:hAnsiTheme="majorHAnsi" w:cs="Arial"/>
                <w:sz w:val="18"/>
                <w:szCs w:val="18"/>
              </w:rPr>
              <w:t xml:space="preserve"> etc.) </w:t>
            </w:r>
          </w:p>
        </w:tc>
        <w:tc>
          <w:tcPr>
            <w:tcW w:w="2693" w:type="dxa"/>
          </w:tcPr>
          <w:p w14:paraId="20A2D43E" w14:textId="085DF237" w:rsidR="00A60997" w:rsidRPr="00771945" w:rsidRDefault="00A60997" w:rsidP="00A60997">
            <w:pPr>
              <w:spacing w:line="276" w:lineRule="auto"/>
              <w:rPr>
                <w:rFonts w:asciiTheme="majorHAnsi" w:hAnsiTheme="majorHAnsi" w:cs="Arial"/>
                <w:sz w:val="18"/>
                <w:szCs w:val="18"/>
              </w:rPr>
            </w:pPr>
            <w:r w:rsidRPr="00771945">
              <w:rPr>
                <w:rFonts w:asciiTheme="majorHAnsi" w:hAnsiTheme="majorHAnsi" w:cs="Arial"/>
                <w:sz w:val="18"/>
                <w:szCs w:val="18"/>
              </w:rPr>
              <w:t>Unusual third-party deposits, request to use trust account in non-standard ways, structuring of payments (e.g</w:t>
            </w:r>
            <w:r w:rsidR="00C44ECE">
              <w:rPr>
                <w:rFonts w:asciiTheme="majorHAnsi" w:hAnsiTheme="majorHAnsi" w:cs="Arial"/>
                <w:sz w:val="18"/>
                <w:szCs w:val="18"/>
              </w:rPr>
              <w:t>.</w:t>
            </w:r>
            <w:r w:rsidRPr="00771945">
              <w:rPr>
                <w:rFonts w:asciiTheme="majorHAnsi" w:hAnsiTheme="majorHAnsi" w:cs="Arial"/>
                <w:sz w:val="18"/>
                <w:szCs w:val="18"/>
              </w:rPr>
              <w:t xml:space="preserve"> just under or seemingly to avoid reporting thresholds and/or deposits/payments from/to multiple accounts or entities)</w:t>
            </w:r>
          </w:p>
          <w:p w14:paraId="45CFEFF2" w14:textId="41823213" w:rsidR="00A60997" w:rsidRPr="00771945" w:rsidRDefault="00A60997" w:rsidP="00A60997">
            <w:pPr>
              <w:spacing w:line="276" w:lineRule="auto"/>
              <w:rPr>
                <w:rFonts w:asciiTheme="majorHAnsi" w:hAnsiTheme="majorHAnsi" w:cs="Arial"/>
                <w:sz w:val="16"/>
                <w:szCs w:val="16"/>
              </w:rPr>
            </w:pPr>
          </w:p>
        </w:tc>
      </w:tr>
    </w:tbl>
    <w:tbl>
      <w:tblPr>
        <w:tblStyle w:val="TableGrid"/>
        <w:tblpPr w:leftFromText="180" w:rightFromText="180" w:vertAnchor="text" w:horzAnchor="margin" w:tblpXSpec="right" w:tblpY="143"/>
        <w:tblW w:w="7380" w:type="dxa"/>
        <w:tblLook w:val="04A0" w:firstRow="1" w:lastRow="0" w:firstColumn="1" w:lastColumn="0" w:noHBand="0" w:noVBand="1"/>
      </w:tblPr>
      <w:tblGrid>
        <w:gridCol w:w="1800"/>
        <w:gridCol w:w="1504"/>
        <w:gridCol w:w="1588"/>
        <w:gridCol w:w="2488"/>
      </w:tblGrid>
      <w:tr w:rsidR="00E16E3C" w:rsidRPr="00453C15" w14:paraId="4E0E43A2" w14:textId="77777777" w:rsidTr="0026582A">
        <w:trPr>
          <w:trHeight w:val="300"/>
        </w:trPr>
        <w:tc>
          <w:tcPr>
            <w:tcW w:w="7380" w:type="dxa"/>
            <w:gridSpan w:val="4"/>
            <w:tcBorders>
              <w:top w:val="nil"/>
              <w:left w:val="nil"/>
              <w:bottom w:val="nil"/>
              <w:right w:val="nil"/>
            </w:tcBorders>
            <w:vAlign w:val="center"/>
          </w:tcPr>
          <w:p w14:paraId="7FDA47DC" w14:textId="46DFE86E" w:rsidR="00E16E3C" w:rsidRPr="00C65650" w:rsidRDefault="00E16E3C" w:rsidP="00C65650">
            <w:pPr>
              <w:jc w:val="center"/>
              <w:rPr>
                <w:rFonts w:ascii="Arial" w:hAnsi="Arial" w:cs="Arial"/>
                <w:b/>
                <w:bCs/>
                <w:color w:val="002060"/>
                <w:sz w:val="24"/>
                <w:szCs w:val="24"/>
              </w:rPr>
            </w:pPr>
            <w:r w:rsidRPr="00C65650">
              <w:rPr>
                <w:rFonts w:ascii="Arial" w:hAnsi="Arial" w:cs="Arial"/>
                <w:b/>
                <w:bCs/>
                <w:color w:val="002060"/>
                <w:sz w:val="24"/>
                <w:szCs w:val="24"/>
              </w:rPr>
              <w:t xml:space="preserve">Jurisdictional </w:t>
            </w:r>
            <w:r w:rsidR="00984341">
              <w:rPr>
                <w:rFonts w:ascii="Arial" w:hAnsi="Arial" w:cs="Arial"/>
                <w:b/>
                <w:bCs/>
                <w:color w:val="002060"/>
                <w:sz w:val="24"/>
                <w:szCs w:val="24"/>
              </w:rPr>
              <w:t>F</w:t>
            </w:r>
            <w:r w:rsidR="00984341" w:rsidRPr="00C65650">
              <w:rPr>
                <w:rFonts w:ascii="Arial" w:hAnsi="Arial" w:cs="Arial"/>
                <w:b/>
                <w:bCs/>
                <w:color w:val="002060"/>
                <w:sz w:val="24"/>
                <w:szCs w:val="24"/>
              </w:rPr>
              <w:t>actors</w:t>
            </w:r>
          </w:p>
          <w:p w14:paraId="7403BA48" w14:textId="68988D46" w:rsidR="00E16E3C" w:rsidRPr="00C65650" w:rsidRDefault="00E16E3C" w:rsidP="00C65650">
            <w:pPr>
              <w:jc w:val="center"/>
              <w:rPr>
                <w:rFonts w:ascii="Arial" w:hAnsi="Arial" w:cs="Arial"/>
                <w:sz w:val="28"/>
                <w:szCs w:val="28"/>
              </w:rPr>
            </w:pPr>
            <w:r w:rsidRPr="00C65650">
              <w:rPr>
                <w:rFonts w:ascii="Arial" w:hAnsi="Arial" w:cs="Arial"/>
                <w:color w:val="EE0000"/>
                <w:sz w:val="24"/>
                <w:szCs w:val="24"/>
              </w:rPr>
              <w:t>(EXAMPLES ONLY)</w:t>
            </w:r>
          </w:p>
        </w:tc>
      </w:tr>
      <w:tr w:rsidR="00E16E3C" w:rsidRPr="00453C15" w14:paraId="01D19E6D" w14:textId="77777777" w:rsidTr="0026582A">
        <w:trPr>
          <w:trHeight w:val="300"/>
        </w:trPr>
        <w:tc>
          <w:tcPr>
            <w:tcW w:w="1800" w:type="dxa"/>
            <w:tcBorders>
              <w:top w:val="nil"/>
              <w:left w:val="nil"/>
              <w:bottom w:val="nil"/>
              <w:right w:val="single" w:sz="4" w:space="0" w:color="auto"/>
            </w:tcBorders>
            <w:vAlign w:val="center"/>
          </w:tcPr>
          <w:p w14:paraId="144571D9" w14:textId="77777777" w:rsidR="00E16E3C" w:rsidRPr="00453C15" w:rsidRDefault="00E16E3C" w:rsidP="00E16E3C">
            <w:pPr>
              <w:rPr>
                <w:sz w:val="18"/>
                <w:szCs w:val="18"/>
              </w:rPr>
            </w:pPr>
          </w:p>
        </w:tc>
        <w:tc>
          <w:tcPr>
            <w:tcW w:w="1504" w:type="dxa"/>
            <w:tcBorders>
              <w:top w:val="single" w:sz="4" w:space="0" w:color="auto"/>
              <w:left w:val="single" w:sz="4" w:space="0" w:color="auto"/>
            </w:tcBorders>
            <w:shd w:val="clear" w:color="auto" w:fill="78BE20" w:themeFill="accent3"/>
            <w:vAlign w:val="center"/>
          </w:tcPr>
          <w:p w14:paraId="472D5D0F" w14:textId="77777777" w:rsidR="00E16E3C" w:rsidRPr="00C15EAA" w:rsidRDefault="00E16E3C" w:rsidP="00E16E3C">
            <w:pPr>
              <w:jc w:val="center"/>
              <w:rPr>
                <w:rFonts w:ascii="Arial" w:hAnsi="Arial" w:cs="Arial"/>
                <w:b/>
                <w:bCs/>
                <w:color w:val="FFFFFF" w:themeColor="background1"/>
                <w:sz w:val="20"/>
                <w:szCs w:val="20"/>
              </w:rPr>
            </w:pPr>
            <w:r w:rsidRPr="00C15EAA">
              <w:rPr>
                <w:rFonts w:ascii="Arial" w:hAnsi="Arial" w:cs="Arial"/>
                <w:b/>
                <w:bCs/>
                <w:color w:val="FFFFFF" w:themeColor="background1"/>
                <w:sz w:val="20"/>
                <w:szCs w:val="20"/>
              </w:rPr>
              <w:t xml:space="preserve"> Low </w:t>
            </w:r>
          </w:p>
        </w:tc>
        <w:tc>
          <w:tcPr>
            <w:tcW w:w="1588" w:type="dxa"/>
            <w:tcBorders>
              <w:top w:val="single" w:sz="4" w:space="0" w:color="auto"/>
            </w:tcBorders>
            <w:shd w:val="clear" w:color="auto" w:fill="E6AF00"/>
            <w:vAlign w:val="center"/>
          </w:tcPr>
          <w:p w14:paraId="3257F060" w14:textId="77777777" w:rsidR="00E16E3C" w:rsidRPr="00C15EAA" w:rsidRDefault="00E16E3C" w:rsidP="00E16E3C">
            <w:pPr>
              <w:jc w:val="center"/>
              <w:rPr>
                <w:rFonts w:ascii="Arial" w:hAnsi="Arial" w:cs="Arial"/>
                <w:b/>
                <w:bCs/>
                <w:color w:val="FFFFFF" w:themeColor="background1"/>
                <w:sz w:val="20"/>
                <w:szCs w:val="20"/>
              </w:rPr>
            </w:pPr>
            <w:r w:rsidRPr="00C15EAA">
              <w:rPr>
                <w:rFonts w:ascii="Arial" w:hAnsi="Arial" w:cs="Arial"/>
                <w:b/>
                <w:bCs/>
                <w:color w:val="FFFFFF" w:themeColor="background1"/>
                <w:sz w:val="20"/>
                <w:szCs w:val="20"/>
              </w:rPr>
              <w:t xml:space="preserve">Medium </w:t>
            </w:r>
          </w:p>
        </w:tc>
        <w:tc>
          <w:tcPr>
            <w:tcW w:w="2488" w:type="dxa"/>
            <w:tcBorders>
              <w:top w:val="single" w:sz="4" w:space="0" w:color="auto"/>
            </w:tcBorders>
            <w:shd w:val="clear" w:color="auto" w:fill="C00000"/>
            <w:vAlign w:val="center"/>
          </w:tcPr>
          <w:p w14:paraId="72AD6A3D" w14:textId="77777777" w:rsidR="00E16E3C" w:rsidRPr="00C15EAA" w:rsidRDefault="00E16E3C" w:rsidP="00E16E3C">
            <w:pPr>
              <w:jc w:val="center"/>
              <w:rPr>
                <w:rFonts w:ascii="Arial" w:hAnsi="Arial" w:cs="Arial"/>
                <w:b/>
                <w:bCs/>
                <w:sz w:val="20"/>
                <w:szCs w:val="20"/>
              </w:rPr>
            </w:pPr>
            <w:r w:rsidRPr="00C15EAA">
              <w:rPr>
                <w:rFonts w:ascii="Arial" w:hAnsi="Arial" w:cs="Arial"/>
                <w:b/>
                <w:bCs/>
                <w:sz w:val="20"/>
                <w:szCs w:val="20"/>
              </w:rPr>
              <w:t xml:space="preserve">High </w:t>
            </w:r>
          </w:p>
        </w:tc>
      </w:tr>
      <w:tr w:rsidR="00DB325D" w:rsidRPr="00453C15" w14:paraId="031B0CBA" w14:textId="77777777" w:rsidTr="00C65650">
        <w:trPr>
          <w:trHeight w:val="2255"/>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75D3D" w14:textId="77777777" w:rsidR="00DB325D" w:rsidRPr="00A62425" w:rsidRDefault="00DB325D" w:rsidP="00DB325D">
            <w:pPr>
              <w:rPr>
                <w:rFonts w:ascii="Arial" w:hAnsi="Arial" w:cs="Arial"/>
                <w:b/>
                <w:bCs/>
                <w:sz w:val="18"/>
                <w:szCs w:val="18"/>
              </w:rPr>
            </w:pPr>
            <w:r w:rsidRPr="00A62425">
              <w:rPr>
                <w:rFonts w:ascii="Arial" w:hAnsi="Arial" w:cs="Arial"/>
                <w:b/>
                <w:bCs/>
                <w:sz w:val="18"/>
                <w:szCs w:val="18"/>
              </w:rPr>
              <w:t>Jurisdiction of parties to transaction</w:t>
            </w:r>
          </w:p>
        </w:tc>
        <w:tc>
          <w:tcPr>
            <w:tcW w:w="1504" w:type="dxa"/>
            <w:tcBorders>
              <w:left w:val="single" w:sz="4" w:space="0" w:color="auto"/>
            </w:tcBorders>
          </w:tcPr>
          <w:p w14:paraId="13100EA8" w14:textId="77777777" w:rsidR="00DB325D" w:rsidRPr="00771945" w:rsidRDefault="00DB325D" w:rsidP="00DB325D">
            <w:pPr>
              <w:rPr>
                <w:rFonts w:asciiTheme="majorHAnsi" w:hAnsiTheme="majorHAnsi" w:cs="Arial"/>
                <w:sz w:val="18"/>
                <w:szCs w:val="18"/>
              </w:rPr>
            </w:pPr>
            <w:r w:rsidRPr="00771945">
              <w:rPr>
                <w:rFonts w:asciiTheme="majorHAnsi" w:hAnsiTheme="majorHAnsi" w:cs="Arial"/>
                <w:sz w:val="18"/>
                <w:szCs w:val="18"/>
              </w:rPr>
              <w:t>All parties to the transaction reside or are registered in Australia</w:t>
            </w:r>
          </w:p>
          <w:p w14:paraId="70B22702" w14:textId="77777777" w:rsidR="00DB325D" w:rsidRPr="00771945" w:rsidRDefault="00DB325D" w:rsidP="00DB325D">
            <w:pPr>
              <w:rPr>
                <w:rFonts w:asciiTheme="majorHAnsi" w:hAnsiTheme="majorHAnsi" w:cs="Arial"/>
                <w:sz w:val="16"/>
                <w:szCs w:val="16"/>
              </w:rPr>
            </w:pPr>
          </w:p>
        </w:tc>
        <w:tc>
          <w:tcPr>
            <w:tcW w:w="1588" w:type="dxa"/>
          </w:tcPr>
          <w:p w14:paraId="5C66DBA3" w14:textId="77777777" w:rsidR="00DB325D" w:rsidRPr="00771945" w:rsidRDefault="00DB325D" w:rsidP="00DB325D">
            <w:pPr>
              <w:rPr>
                <w:rFonts w:asciiTheme="majorHAnsi" w:hAnsiTheme="majorHAnsi" w:cs="Arial"/>
                <w:sz w:val="18"/>
                <w:szCs w:val="18"/>
              </w:rPr>
            </w:pPr>
            <w:r w:rsidRPr="00771945">
              <w:rPr>
                <w:rFonts w:asciiTheme="majorHAnsi" w:hAnsiTheme="majorHAnsi" w:cs="Arial"/>
                <w:sz w:val="18"/>
                <w:szCs w:val="18"/>
              </w:rPr>
              <w:t>There are parties to the transaction who reside, are registered in or are linked to a low-risk FATF jurisdiction</w:t>
            </w:r>
          </w:p>
          <w:p w14:paraId="1F72F2B3" w14:textId="77777777" w:rsidR="00DB325D" w:rsidRPr="00771945" w:rsidRDefault="00DB325D" w:rsidP="00DB325D">
            <w:pPr>
              <w:rPr>
                <w:rFonts w:asciiTheme="majorHAnsi" w:hAnsiTheme="majorHAnsi" w:cs="Arial"/>
                <w:sz w:val="16"/>
                <w:szCs w:val="16"/>
              </w:rPr>
            </w:pPr>
          </w:p>
        </w:tc>
        <w:tc>
          <w:tcPr>
            <w:tcW w:w="2488" w:type="dxa"/>
          </w:tcPr>
          <w:p w14:paraId="502DAB8C" w14:textId="5C8387C3" w:rsidR="00DB325D" w:rsidRPr="00771945" w:rsidRDefault="00DB325D" w:rsidP="00DB325D">
            <w:pPr>
              <w:rPr>
                <w:rFonts w:asciiTheme="majorHAnsi" w:hAnsiTheme="majorHAnsi"/>
                <w:sz w:val="16"/>
                <w:szCs w:val="16"/>
              </w:rPr>
            </w:pPr>
            <w:r w:rsidRPr="00771945">
              <w:rPr>
                <w:rFonts w:asciiTheme="majorHAnsi" w:hAnsiTheme="majorHAnsi" w:cs="Arial"/>
                <w:sz w:val="18"/>
                <w:szCs w:val="18"/>
              </w:rPr>
              <w:t>There are parties to the transaction who reside or are registered in a high-risk FATF jurisdiction, known conflict zones, secrecy havens or sanctioned region, involvement of known terrorist organisations, or foreign entities/individuals with adverse media (e.g. criminal allegations)</w:t>
            </w:r>
          </w:p>
        </w:tc>
      </w:tr>
      <w:tr w:rsidR="00DB325D" w:rsidRPr="00453C15" w14:paraId="55A2C2FC" w14:textId="77777777" w:rsidTr="00DB325D">
        <w:trPr>
          <w:trHeight w:val="1358"/>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40081" w14:textId="77777777" w:rsidR="00DB325D" w:rsidRPr="00A62425" w:rsidRDefault="00DB325D" w:rsidP="00DB325D">
            <w:pPr>
              <w:rPr>
                <w:rFonts w:ascii="Arial" w:hAnsi="Arial" w:cs="Arial"/>
                <w:b/>
                <w:bCs/>
                <w:sz w:val="18"/>
                <w:szCs w:val="18"/>
              </w:rPr>
            </w:pPr>
            <w:r w:rsidRPr="00A62425">
              <w:rPr>
                <w:rFonts w:ascii="Arial" w:hAnsi="Arial" w:cs="Arial"/>
                <w:b/>
                <w:bCs/>
                <w:sz w:val="18"/>
                <w:szCs w:val="18"/>
              </w:rPr>
              <w:t xml:space="preserve">Origin of funds </w:t>
            </w:r>
          </w:p>
        </w:tc>
        <w:tc>
          <w:tcPr>
            <w:tcW w:w="1504" w:type="dxa"/>
            <w:tcBorders>
              <w:left w:val="single" w:sz="4" w:space="0" w:color="auto"/>
            </w:tcBorders>
          </w:tcPr>
          <w:p w14:paraId="428DBE60" w14:textId="20AF9024" w:rsidR="00DB325D" w:rsidRPr="00771945" w:rsidRDefault="00DB325D" w:rsidP="00C65650">
            <w:pPr>
              <w:rPr>
                <w:rFonts w:asciiTheme="majorHAnsi" w:hAnsiTheme="majorHAnsi" w:cs="Arial"/>
                <w:sz w:val="16"/>
                <w:szCs w:val="16"/>
              </w:rPr>
            </w:pPr>
            <w:r w:rsidRPr="00771945">
              <w:rPr>
                <w:rFonts w:asciiTheme="majorHAnsi" w:hAnsiTheme="majorHAnsi" w:cs="Arial"/>
                <w:sz w:val="18"/>
                <w:szCs w:val="18"/>
              </w:rPr>
              <w:t>Funds originate solely from domestic Australian sources or financial institutions</w:t>
            </w:r>
          </w:p>
        </w:tc>
        <w:tc>
          <w:tcPr>
            <w:tcW w:w="1588" w:type="dxa"/>
          </w:tcPr>
          <w:p w14:paraId="52CD4CE8" w14:textId="5E0ED97A" w:rsidR="00DB325D" w:rsidRPr="00771945" w:rsidRDefault="00DB325D" w:rsidP="00DB325D">
            <w:pPr>
              <w:rPr>
                <w:rFonts w:asciiTheme="majorHAnsi" w:hAnsiTheme="majorHAnsi" w:cs="Arial"/>
                <w:sz w:val="16"/>
                <w:szCs w:val="16"/>
              </w:rPr>
            </w:pPr>
            <w:r w:rsidRPr="00771945">
              <w:rPr>
                <w:rFonts w:asciiTheme="majorHAnsi" w:hAnsiTheme="majorHAnsi" w:cs="Arial"/>
                <w:sz w:val="18"/>
                <w:szCs w:val="18"/>
              </w:rPr>
              <w:t>Funds originate from regulated institutions in low-risk FATF jurisdictions</w:t>
            </w:r>
          </w:p>
        </w:tc>
        <w:tc>
          <w:tcPr>
            <w:tcW w:w="2488" w:type="dxa"/>
          </w:tcPr>
          <w:p w14:paraId="290C3D92" w14:textId="321F0A73" w:rsidR="00DB325D" w:rsidRPr="00771945" w:rsidRDefault="00DB325D" w:rsidP="00DB325D">
            <w:pPr>
              <w:rPr>
                <w:rFonts w:asciiTheme="majorHAnsi" w:hAnsiTheme="majorHAnsi" w:cs="Arial"/>
                <w:sz w:val="16"/>
                <w:szCs w:val="16"/>
              </w:rPr>
            </w:pPr>
            <w:r w:rsidRPr="00771945">
              <w:rPr>
                <w:rFonts w:asciiTheme="majorHAnsi" w:hAnsiTheme="majorHAnsi" w:cs="Arial"/>
                <w:sz w:val="18"/>
                <w:szCs w:val="18"/>
              </w:rPr>
              <w:t>Funds originate from high-risk FATF jurisdictions, unregulated or opaque foreign sources, known conflict zones, secrecy havens or sanctioned region</w:t>
            </w:r>
            <w:r w:rsidR="00056FA0">
              <w:rPr>
                <w:rFonts w:asciiTheme="majorHAnsi" w:hAnsiTheme="majorHAnsi" w:cs="Arial"/>
                <w:sz w:val="18"/>
                <w:szCs w:val="18"/>
              </w:rPr>
              <w:t>s</w:t>
            </w:r>
          </w:p>
        </w:tc>
      </w:tr>
      <w:tr w:rsidR="00DB325D" w:rsidRPr="00453C15" w14:paraId="09447CDD" w14:textId="77777777" w:rsidTr="00C65650">
        <w:trPr>
          <w:trHeight w:val="91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936E1" w14:textId="77777777" w:rsidR="009F6B4D" w:rsidRPr="009F6B4D" w:rsidRDefault="009F6B4D" w:rsidP="009F6B4D">
            <w:pPr>
              <w:rPr>
                <w:rFonts w:ascii="Arial" w:hAnsi="Arial" w:cs="Arial"/>
                <w:b/>
                <w:bCs/>
                <w:sz w:val="18"/>
                <w:szCs w:val="18"/>
              </w:rPr>
            </w:pPr>
            <w:r w:rsidRPr="009F6B4D">
              <w:rPr>
                <w:rFonts w:ascii="Arial" w:hAnsi="Arial" w:cs="Arial"/>
                <w:b/>
                <w:bCs/>
                <w:sz w:val="18"/>
                <w:szCs w:val="18"/>
              </w:rPr>
              <w:t xml:space="preserve">Location of entities or assets involved </w:t>
            </w:r>
          </w:p>
          <w:p w14:paraId="601F192F" w14:textId="3FBC092F" w:rsidR="00DB325D" w:rsidRPr="00A62425" w:rsidRDefault="00DB325D" w:rsidP="00DB325D">
            <w:pPr>
              <w:rPr>
                <w:rFonts w:ascii="Arial" w:hAnsi="Arial" w:cs="Arial"/>
                <w:b/>
                <w:bCs/>
                <w:sz w:val="18"/>
                <w:szCs w:val="18"/>
              </w:rPr>
            </w:pPr>
          </w:p>
        </w:tc>
        <w:tc>
          <w:tcPr>
            <w:tcW w:w="1504" w:type="dxa"/>
            <w:tcBorders>
              <w:left w:val="single" w:sz="4" w:space="0" w:color="auto"/>
            </w:tcBorders>
          </w:tcPr>
          <w:p w14:paraId="3ACE8D67" w14:textId="6BE0A688" w:rsidR="00DB325D" w:rsidRPr="00771945" w:rsidRDefault="00DB325D" w:rsidP="00C65650">
            <w:pPr>
              <w:rPr>
                <w:rFonts w:asciiTheme="majorHAnsi" w:hAnsiTheme="majorHAnsi" w:cs="Arial"/>
                <w:sz w:val="16"/>
                <w:szCs w:val="16"/>
              </w:rPr>
            </w:pPr>
            <w:r w:rsidRPr="00771945">
              <w:rPr>
                <w:rFonts w:asciiTheme="majorHAnsi" w:hAnsiTheme="majorHAnsi" w:cs="Arial"/>
                <w:sz w:val="18"/>
                <w:szCs w:val="18"/>
              </w:rPr>
              <w:t xml:space="preserve">All entities or assets involved are in Australia, with no foreign component or ownership ties </w:t>
            </w:r>
          </w:p>
        </w:tc>
        <w:tc>
          <w:tcPr>
            <w:tcW w:w="1588" w:type="dxa"/>
          </w:tcPr>
          <w:p w14:paraId="663DC49E" w14:textId="63195C26" w:rsidR="00DB325D" w:rsidRPr="00771945" w:rsidRDefault="00DB325D" w:rsidP="00DB325D">
            <w:pPr>
              <w:rPr>
                <w:rFonts w:asciiTheme="majorHAnsi" w:hAnsiTheme="majorHAnsi" w:cs="Arial"/>
                <w:sz w:val="16"/>
                <w:szCs w:val="16"/>
              </w:rPr>
            </w:pPr>
            <w:r w:rsidRPr="00771945">
              <w:rPr>
                <w:rFonts w:asciiTheme="majorHAnsi" w:hAnsiTheme="majorHAnsi" w:cs="Arial"/>
                <w:sz w:val="18"/>
                <w:szCs w:val="18"/>
              </w:rPr>
              <w:t xml:space="preserve">There are entities or assets involved based in or with ties to a low-risk FATF jurisdiction  </w:t>
            </w:r>
          </w:p>
        </w:tc>
        <w:tc>
          <w:tcPr>
            <w:tcW w:w="2488" w:type="dxa"/>
          </w:tcPr>
          <w:p w14:paraId="08037FA4" w14:textId="2461978F" w:rsidR="00DB325D" w:rsidRPr="00771945" w:rsidRDefault="00DB325D" w:rsidP="00DB325D">
            <w:pPr>
              <w:rPr>
                <w:rFonts w:asciiTheme="majorHAnsi" w:hAnsiTheme="majorHAnsi" w:cs="Arial"/>
                <w:sz w:val="16"/>
                <w:szCs w:val="16"/>
              </w:rPr>
            </w:pPr>
            <w:r w:rsidRPr="00771945">
              <w:rPr>
                <w:rFonts w:asciiTheme="majorHAnsi" w:hAnsiTheme="majorHAnsi" w:cs="Arial"/>
                <w:sz w:val="18"/>
                <w:szCs w:val="18"/>
              </w:rPr>
              <w:t>There are entities or assets involved based</w:t>
            </w:r>
            <w:r w:rsidR="006B2235">
              <w:rPr>
                <w:rFonts w:asciiTheme="majorHAnsi" w:hAnsiTheme="majorHAnsi" w:cs="Arial"/>
                <w:sz w:val="18"/>
                <w:szCs w:val="18"/>
              </w:rPr>
              <w:t xml:space="preserve"> in</w:t>
            </w:r>
            <w:r w:rsidRPr="00771945">
              <w:rPr>
                <w:rFonts w:asciiTheme="majorHAnsi" w:hAnsiTheme="majorHAnsi" w:cs="Arial"/>
                <w:sz w:val="18"/>
                <w:szCs w:val="18"/>
              </w:rPr>
              <w:t xml:space="preserve"> or </w:t>
            </w:r>
            <w:r w:rsidR="006B2235">
              <w:rPr>
                <w:rFonts w:asciiTheme="majorHAnsi" w:hAnsiTheme="majorHAnsi" w:cs="Arial"/>
                <w:sz w:val="18"/>
                <w:szCs w:val="18"/>
              </w:rPr>
              <w:t>with</w:t>
            </w:r>
            <w:r w:rsidR="006B2235" w:rsidRPr="00771945">
              <w:rPr>
                <w:rFonts w:asciiTheme="majorHAnsi" w:hAnsiTheme="majorHAnsi" w:cs="Arial"/>
                <w:sz w:val="18"/>
                <w:szCs w:val="18"/>
              </w:rPr>
              <w:t xml:space="preserve"> </w:t>
            </w:r>
            <w:r w:rsidRPr="00771945">
              <w:rPr>
                <w:rFonts w:asciiTheme="majorHAnsi" w:hAnsiTheme="majorHAnsi" w:cs="Arial"/>
                <w:sz w:val="18"/>
                <w:szCs w:val="18"/>
              </w:rPr>
              <w:t>ties to a high-risk FATF jurisdiction, known conflict zones, secrecy havens or sanctioned region</w:t>
            </w:r>
            <w:r w:rsidR="006B2235">
              <w:rPr>
                <w:rFonts w:asciiTheme="majorHAnsi" w:hAnsiTheme="majorHAnsi" w:cs="Arial"/>
                <w:sz w:val="18"/>
                <w:szCs w:val="18"/>
              </w:rPr>
              <w:t>s</w:t>
            </w:r>
          </w:p>
        </w:tc>
      </w:tr>
      <w:tr w:rsidR="00DB325D" w:rsidRPr="00453C15" w14:paraId="4F5C057B" w14:textId="77777777" w:rsidTr="00C65650">
        <w:trPr>
          <w:trHeight w:val="1636"/>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6EC4D" w14:textId="77777777" w:rsidR="00DB325D" w:rsidRPr="00A62425" w:rsidRDefault="00DB325D" w:rsidP="00DB325D">
            <w:pPr>
              <w:rPr>
                <w:rFonts w:ascii="Arial" w:hAnsi="Arial" w:cs="Arial"/>
                <w:b/>
                <w:bCs/>
                <w:sz w:val="18"/>
                <w:szCs w:val="18"/>
              </w:rPr>
            </w:pPr>
            <w:r w:rsidRPr="00A62425">
              <w:rPr>
                <w:rFonts w:ascii="Arial" w:hAnsi="Arial" w:cs="Arial"/>
                <w:b/>
                <w:bCs/>
                <w:sz w:val="18"/>
                <w:szCs w:val="18"/>
              </w:rPr>
              <w:t>Cross-border exposure</w:t>
            </w:r>
          </w:p>
        </w:tc>
        <w:tc>
          <w:tcPr>
            <w:tcW w:w="1504" w:type="dxa"/>
            <w:tcBorders>
              <w:left w:val="single" w:sz="4" w:space="0" w:color="auto"/>
            </w:tcBorders>
          </w:tcPr>
          <w:p w14:paraId="2453FA6D" w14:textId="7976E3A3" w:rsidR="00DB325D" w:rsidRPr="00771945" w:rsidRDefault="00DB325D" w:rsidP="00DB325D">
            <w:pPr>
              <w:rPr>
                <w:rFonts w:asciiTheme="majorHAnsi" w:hAnsiTheme="majorHAnsi" w:cs="Arial"/>
                <w:sz w:val="16"/>
                <w:szCs w:val="16"/>
              </w:rPr>
            </w:pPr>
            <w:r w:rsidRPr="00771945">
              <w:rPr>
                <w:rFonts w:asciiTheme="majorHAnsi" w:hAnsiTheme="majorHAnsi" w:cs="Arial"/>
                <w:sz w:val="18"/>
                <w:szCs w:val="18"/>
              </w:rPr>
              <w:t>No international linkages, remittances or offshore connections</w:t>
            </w:r>
          </w:p>
        </w:tc>
        <w:tc>
          <w:tcPr>
            <w:tcW w:w="1588" w:type="dxa"/>
          </w:tcPr>
          <w:p w14:paraId="44BAE0C5" w14:textId="2657E14D" w:rsidR="00DB325D" w:rsidRPr="00771945" w:rsidRDefault="00DB325D" w:rsidP="00DB325D">
            <w:pPr>
              <w:rPr>
                <w:rFonts w:asciiTheme="majorHAnsi" w:hAnsiTheme="majorHAnsi" w:cs="Arial"/>
                <w:sz w:val="16"/>
                <w:szCs w:val="16"/>
              </w:rPr>
            </w:pPr>
            <w:r w:rsidRPr="00771945">
              <w:rPr>
                <w:rFonts w:asciiTheme="majorHAnsi" w:hAnsiTheme="majorHAnsi" w:cs="Arial"/>
                <w:sz w:val="18"/>
                <w:szCs w:val="18"/>
              </w:rPr>
              <w:t>Occasional or moderate cross-border exposure but limited to low-risk FATF jurisdictions</w:t>
            </w:r>
          </w:p>
        </w:tc>
        <w:tc>
          <w:tcPr>
            <w:tcW w:w="2488" w:type="dxa"/>
          </w:tcPr>
          <w:p w14:paraId="504DAFBF" w14:textId="4F000F02" w:rsidR="00DB325D" w:rsidRPr="00771945" w:rsidRDefault="00DB325D" w:rsidP="00DB325D">
            <w:pPr>
              <w:spacing w:after="120"/>
              <w:rPr>
                <w:rFonts w:asciiTheme="majorHAnsi" w:hAnsiTheme="majorHAnsi" w:cs="Arial"/>
                <w:sz w:val="16"/>
                <w:szCs w:val="16"/>
              </w:rPr>
            </w:pPr>
            <w:r w:rsidRPr="00771945">
              <w:rPr>
                <w:rFonts w:asciiTheme="majorHAnsi" w:hAnsiTheme="majorHAnsi" w:cs="Arial"/>
                <w:sz w:val="18"/>
                <w:szCs w:val="18"/>
              </w:rPr>
              <w:t>Multiple cross-border elements involving or exposure to high-risk FATF jurisdictions, known conflict zones, secrecy havens</w:t>
            </w:r>
            <w:r w:rsidR="006B2235">
              <w:rPr>
                <w:rFonts w:asciiTheme="majorHAnsi" w:hAnsiTheme="majorHAnsi" w:cs="Arial"/>
                <w:sz w:val="18"/>
                <w:szCs w:val="18"/>
              </w:rPr>
              <w:t xml:space="preserve"> </w:t>
            </w:r>
            <w:r w:rsidRPr="00771945">
              <w:rPr>
                <w:rFonts w:asciiTheme="majorHAnsi" w:hAnsiTheme="majorHAnsi" w:cs="Arial"/>
                <w:sz w:val="18"/>
                <w:szCs w:val="18"/>
              </w:rPr>
              <w:t>or sanctioned region</w:t>
            </w:r>
            <w:r w:rsidR="006B2235">
              <w:rPr>
                <w:rFonts w:asciiTheme="majorHAnsi" w:hAnsiTheme="majorHAnsi" w:cs="Arial"/>
                <w:sz w:val="18"/>
                <w:szCs w:val="18"/>
              </w:rPr>
              <w:t>s</w:t>
            </w:r>
            <w:r w:rsidRPr="00771945">
              <w:rPr>
                <w:rFonts w:asciiTheme="majorHAnsi" w:hAnsiTheme="majorHAnsi" w:cs="Arial"/>
                <w:sz w:val="18"/>
                <w:szCs w:val="18"/>
              </w:rPr>
              <w:t xml:space="preserve"> or jurisdictions with no clear or legitimate connection to any of the parties involved in the transaction</w:t>
            </w:r>
          </w:p>
        </w:tc>
      </w:tr>
    </w:tbl>
    <w:tbl>
      <w:tblPr>
        <w:tblStyle w:val="TableGrid"/>
        <w:tblpPr w:leftFromText="180" w:rightFromText="180" w:vertAnchor="text" w:horzAnchor="margin" w:tblpXSpec="center" w:tblpY="140"/>
        <w:tblW w:w="7200" w:type="dxa"/>
        <w:tblLayout w:type="fixed"/>
        <w:tblLook w:val="04A0" w:firstRow="1" w:lastRow="0" w:firstColumn="1" w:lastColumn="0" w:noHBand="0" w:noVBand="1"/>
      </w:tblPr>
      <w:tblGrid>
        <w:gridCol w:w="1530"/>
        <w:gridCol w:w="1800"/>
        <w:gridCol w:w="1980"/>
        <w:gridCol w:w="1890"/>
      </w:tblGrid>
      <w:tr w:rsidR="00C65650" w:rsidRPr="00453C15" w14:paraId="73913F9F" w14:textId="77777777" w:rsidTr="00C65650">
        <w:trPr>
          <w:trHeight w:val="300"/>
        </w:trPr>
        <w:tc>
          <w:tcPr>
            <w:tcW w:w="7200" w:type="dxa"/>
            <w:gridSpan w:val="4"/>
            <w:tcBorders>
              <w:top w:val="nil"/>
              <w:left w:val="nil"/>
              <w:bottom w:val="nil"/>
              <w:right w:val="nil"/>
            </w:tcBorders>
            <w:vAlign w:val="center"/>
          </w:tcPr>
          <w:p w14:paraId="00DDC9D4" w14:textId="504C9332" w:rsidR="00C65650" w:rsidRPr="00C65650" w:rsidRDefault="00C65650" w:rsidP="00C65650">
            <w:pPr>
              <w:jc w:val="center"/>
              <w:rPr>
                <w:rFonts w:ascii="Arial" w:hAnsi="Arial" w:cs="Arial"/>
                <w:b/>
                <w:bCs/>
                <w:color w:val="002060"/>
                <w:sz w:val="24"/>
                <w:szCs w:val="24"/>
              </w:rPr>
            </w:pPr>
            <w:r w:rsidRPr="00C65650">
              <w:rPr>
                <w:rFonts w:ascii="Arial" w:hAnsi="Arial" w:cs="Arial"/>
                <w:b/>
                <w:bCs/>
                <w:color w:val="002060"/>
                <w:sz w:val="24"/>
                <w:szCs w:val="24"/>
              </w:rPr>
              <w:t xml:space="preserve">Client </w:t>
            </w:r>
            <w:r w:rsidR="00984341">
              <w:rPr>
                <w:rFonts w:ascii="Arial" w:hAnsi="Arial" w:cs="Arial"/>
                <w:b/>
                <w:bCs/>
                <w:color w:val="002060"/>
                <w:sz w:val="24"/>
                <w:szCs w:val="24"/>
              </w:rPr>
              <w:t>F</w:t>
            </w:r>
            <w:r w:rsidR="00984341" w:rsidRPr="00C65650">
              <w:rPr>
                <w:rFonts w:ascii="Arial" w:hAnsi="Arial" w:cs="Arial"/>
                <w:b/>
                <w:bCs/>
                <w:color w:val="002060"/>
                <w:sz w:val="24"/>
                <w:szCs w:val="24"/>
              </w:rPr>
              <w:t>actors</w:t>
            </w:r>
          </w:p>
          <w:p w14:paraId="5794691C" w14:textId="77777777" w:rsidR="00C65650" w:rsidRPr="00C65650" w:rsidRDefault="00C65650" w:rsidP="00C65650">
            <w:pPr>
              <w:jc w:val="center"/>
              <w:rPr>
                <w:rFonts w:ascii="Arial" w:hAnsi="Arial" w:cs="Arial"/>
                <w:sz w:val="18"/>
                <w:szCs w:val="18"/>
              </w:rPr>
            </w:pPr>
            <w:r w:rsidRPr="00C65650">
              <w:rPr>
                <w:rFonts w:ascii="Arial" w:hAnsi="Arial" w:cs="Arial"/>
                <w:color w:val="EE0000"/>
                <w:sz w:val="24"/>
                <w:szCs w:val="24"/>
              </w:rPr>
              <w:t>(EXAMPLES ONLY)</w:t>
            </w:r>
          </w:p>
        </w:tc>
      </w:tr>
      <w:tr w:rsidR="00C65650" w:rsidRPr="00453C15" w14:paraId="306CD77A" w14:textId="77777777" w:rsidTr="00C65650">
        <w:trPr>
          <w:trHeight w:val="300"/>
        </w:trPr>
        <w:tc>
          <w:tcPr>
            <w:tcW w:w="1530" w:type="dxa"/>
            <w:tcBorders>
              <w:top w:val="nil"/>
              <w:left w:val="nil"/>
              <w:bottom w:val="nil"/>
              <w:right w:val="single" w:sz="4" w:space="0" w:color="auto"/>
            </w:tcBorders>
            <w:vAlign w:val="center"/>
          </w:tcPr>
          <w:p w14:paraId="2642A402" w14:textId="77777777" w:rsidR="00C65650" w:rsidRPr="00F24907" w:rsidRDefault="00C65650" w:rsidP="00C65650">
            <w:pPr>
              <w:rPr>
                <w:sz w:val="18"/>
                <w:szCs w:val="18"/>
              </w:rPr>
            </w:pPr>
          </w:p>
        </w:tc>
        <w:tc>
          <w:tcPr>
            <w:tcW w:w="1800" w:type="dxa"/>
            <w:tcBorders>
              <w:top w:val="single" w:sz="4" w:space="0" w:color="auto"/>
              <w:left w:val="single" w:sz="4" w:space="0" w:color="auto"/>
            </w:tcBorders>
            <w:shd w:val="clear" w:color="auto" w:fill="78BE20" w:themeFill="accent3"/>
            <w:vAlign w:val="center"/>
          </w:tcPr>
          <w:p w14:paraId="659AB445" w14:textId="77777777" w:rsidR="00C65650" w:rsidRPr="00C15EAA" w:rsidRDefault="00C65650" w:rsidP="00C65650">
            <w:pPr>
              <w:jc w:val="center"/>
              <w:rPr>
                <w:rFonts w:ascii="Arial" w:hAnsi="Arial" w:cs="Arial"/>
                <w:b/>
                <w:bCs/>
                <w:color w:val="FFFFFF" w:themeColor="background1"/>
                <w:sz w:val="20"/>
                <w:szCs w:val="20"/>
              </w:rPr>
            </w:pPr>
            <w:r w:rsidRPr="00C15EAA">
              <w:rPr>
                <w:rFonts w:ascii="Arial" w:hAnsi="Arial" w:cs="Arial"/>
                <w:b/>
                <w:bCs/>
                <w:color w:val="FFFFFF" w:themeColor="background1"/>
                <w:sz w:val="20"/>
                <w:szCs w:val="20"/>
              </w:rPr>
              <w:t xml:space="preserve"> Low </w:t>
            </w:r>
          </w:p>
        </w:tc>
        <w:tc>
          <w:tcPr>
            <w:tcW w:w="1980" w:type="dxa"/>
            <w:tcBorders>
              <w:top w:val="single" w:sz="4" w:space="0" w:color="auto"/>
            </w:tcBorders>
            <w:shd w:val="clear" w:color="auto" w:fill="E6AF00"/>
            <w:vAlign w:val="center"/>
          </w:tcPr>
          <w:p w14:paraId="7B02A935" w14:textId="77777777" w:rsidR="00C65650" w:rsidRPr="00C15EAA" w:rsidRDefault="00C65650" w:rsidP="00C65650">
            <w:pPr>
              <w:jc w:val="center"/>
              <w:rPr>
                <w:rFonts w:ascii="Arial" w:hAnsi="Arial" w:cs="Arial"/>
                <w:b/>
                <w:bCs/>
                <w:color w:val="FFFFFF" w:themeColor="background1"/>
                <w:sz w:val="20"/>
                <w:szCs w:val="20"/>
              </w:rPr>
            </w:pPr>
            <w:r w:rsidRPr="00C15EAA">
              <w:rPr>
                <w:rFonts w:ascii="Arial" w:hAnsi="Arial" w:cs="Arial"/>
                <w:b/>
                <w:bCs/>
                <w:color w:val="FFFFFF" w:themeColor="background1"/>
                <w:sz w:val="20"/>
                <w:szCs w:val="20"/>
              </w:rPr>
              <w:t xml:space="preserve">Medium </w:t>
            </w:r>
          </w:p>
        </w:tc>
        <w:tc>
          <w:tcPr>
            <w:tcW w:w="1890" w:type="dxa"/>
            <w:tcBorders>
              <w:top w:val="single" w:sz="4" w:space="0" w:color="auto"/>
            </w:tcBorders>
            <w:shd w:val="clear" w:color="auto" w:fill="C00000"/>
            <w:vAlign w:val="center"/>
          </w:tcPr>
          <w:p w14:paraId="302256E8" w14:textId="77777777" w:rsidR="00C65650" w:rsidRPr="00C15EAA" w:rsidRDefault="00C65650" w:rsidP="00C65650">
            <w:pPr>
              <w:jc w:val="center"/>
              <w:rPr>
                <w:rFonts w:ascii="Arial" w:hAnsi="Arial" w:cs="Arial"/>
                <w:b/>
                <w:bCs/>
                <w:sz w:val="20"/>
                <w:szCs w:val="20"/>
              </w:rPr>
            </w:pPr>
            <w:r w:rsidRPr="00C15EAA">
              <w:rPr>
                <w:rFonts w:ascii="Arial" w:hAnsi="Arial" w:cs="Arial"/>
                <w:b/>
                <w:bCs/>
                <w:sz w:val="20"/>
                <w:szCs w:val="20"/>
              </w:rPr>
              <w:t xml:space="preserve">High </w:t>
            </w:r>
          </w:p>
        </w:tc>
      </w:tr>
      <w:tr w:rsidR="00C65650" w:rsidRPr="00453C15" w14:paraId="17184D82" w14:textId="77777777" w:rsidTr="00C65650">
        <w:trPr>
          <w:trHeight w:val="2196"/>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32AF3" w14:textId="24B7CC58" w:rsidR="00C65650" w:rsidRPr="00A62425" w:rsidRDefault="00C65650" w:rsidP="00C65650">
            <w:pPr>
              <w:rPr>
                <w:rFonts w:ascii="Arial" w:hAnsi="Arial" w:cs="Arial"/>
                <w:b/>
                <w:bCs/>
                <w:sz w:val="18"/>
                <w:szCs w:val="18"/>
              </w:rPr>
            </w:pPr>
            <w:r w:rsidRPr="00A62425">
              <w:rPr>
                <w:rFonts w:ascii="Arial" w:hAnsi="Arial" w:cs="Arial"/>
                <w:b/>
                <w:bCs/>
                <w:sz w:val="18"/>
                <w:szCs w:val="18"/>
              </w:rPr>
              <w:t xml:space="preserve">History and </w:t>
            </w:r>
            <w:r w:rsidR="00984341">
              <w:rPr>
                <w:rFonts w:ascii="Arial" w:hAnsi="Arial" w:cs="Arial"/>
                <w:b/>
                <w:bCs/>
                <w:sz w:val="18"/>
                <w:szCs w:val="18"/>
              </w:rPr>
              <w:t>i</w:t>
            </w:r>
            <w:r w:rsidRPr="00A62425">
              <w:rPr>
                <w:rFonts w:ascii="Arial" w:hAnsi="Arial" w:cs="Arial"/>
                <w:b/>
                <w:bCs/>
                <w:sz w:val="18"/>
                <w:szCs w:val="18"/>
              </w:rPr>
              <w:t>dentity</w:t>
            </w:r>
          </w:p>
        </w:tc>
        <w:tc>
          <w:tcPr>
            <w:tcW w:w="1800" w:type="dxa"/>
            <w:tcBorders>
              <w:left w:val="single" w:sz="4" w:space="0" w:color="auto"/>
            </w:tcBorders>
          </w:tcPr>
          <w:p w14:paraId="5AE39EFE" w14:textId="05D1E233"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 xml:space="preserve">Longstanding and/or well-known client, with </w:t>
            </w:r>
            <w:r w:rsidR="00394D8A" w:rsidRPr="00771945">
              <w:rPr>
                <w:rFonts w:asciiTheme="majorHAnsi" w:hAnsiTheme="majorHAnsi" w:cs="Arial"/>
                <w:sz w:val="18"/>
                <w:szCs w:val="18"/>
              </w:rPr>
              <w:t>well</w:t>
            </w:r>
            <w:r w:rsidR="00394D8A">
              <w:rPr>
                <w:rFonts w:asciiTheme="majorHAnsi" w:hAnsiTheme="majorHAnsi" w:cs="Arial"/>
                <w:sz w:val="18"/>
                <w:szCs w:val="18"/>
              </w:rPr>
              <w:t>-</w:t>
            </w:r>
            <w:r w:rsidRPr="00771945">
              <w:rPr>
                <w:rFonts w:asciiTheme="majorHAnsi" w:hAnsiTheme="majorHAnsi" w:cs="Arial"/>
                <w:sz w:val="18"/>
                <w:szCs w:val="18"/>
              </w:rPr>
              <w:t>establish</w:t>
            </w:r>
            <w:r w:rsidR="00394D8A">
              <w:rPr>
                <w:rFonts w:asciiTheme="majorHAnsi" w:hAnsiTheme="majorHAnsi" w:cs="Arial"/>
                <w:sz w:val="18"/>
                <w:szCs w:val="18"/>
              </w:rPr>
              <w:t>ed</w:t>
            </w:r>
            <w:r w:rsidRPr="00771945">
              <w:rPr>
                <w:rFonts w:asciiTheme="majorHAnsi" w:hAnsiTheme="majorHAnsi" w:cs="Arial"/>
                <w:sz w:val="18"/>
                <w:szCs w:val="18"/>
              </w:rPr>
              <w:t xml:space="preserve"> identity, verified business history and stable corporate profile</w:t>
            </w:r>
          </w:p>
        </w:tc>
        <w:tc>
          <w:tcPr>
            <w:tcW w:w="1980" w:type="dxa"/>
          </w:tcPr>
          <w:p w14:paraId="695753A2" w14:textId="36850A47"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 xml:space="preserve">Client is new or a newly formed/recently restructured entity and/or there is a need to establish key client details and/or history </w:t>
            </w:r>
          </w:p>
        </w:tc>
        <w:tc>
          <w:tcPr>
            <w:tcW w:w="1890" w:type="dxa"/>
          </w:tcPr>
          <w:p w14:paraId="56305421" w14:textId="28E81AD7" w:rsidR="00C65650" w:rsidRPr="00771945" w:rsidRDefault="00C65650" w:rsidP="00C65650">
            <w:pPr>
              <w:rPr>
                <w:rFonts w:asciiTheme="majorHAnsi" w:hAnsiTheme="majorHAnsi"/>
                <w:sz w:val="16"/>
                <w:szCs w:val="16"/>
              </w:rPr>
            </w:pPr>
            <w:r w:rsidRPr="00771945">
              <w:rPr>
                <w:rFonts w:asciiTheme="majorHAnsi" w:hAnsiTheme="majorHAnsi" w:cs="Arial"/>
                <w:sz w:val="18"/>
                <w:szCs w:val="18"/>
              </w:rPr>
              <w:t xml:space="preserve">Client has notable gaps or concerns in their identity and/or history, or is an entity with unclear trading history, frequent deregistration or unexplained controller changes  </w:t>
            </w:r>
          </w:p>
        </w:tc>
      </w:tr>
      <w:tr w:rsidR="00C65650" w:rsidRPr="00453C15" w14:paraId="2FAFCF29" w14:textId="77777777" w:rsidTr="00C65650">
        <w:trPr>
          <w:trHeight w:val="3042"/>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22DB3" w14:textId="05B38412" w:rsidR="00C65650" w:rsidRPr="00A62425" w:rsidRDefault="00C65650" w:rsidP="00C65650">
            <w:pPr>
              <w:rPr>
                <w:rFonts w:ascii="Arial" w:hAnsi="Arial" w:cs="Arial"/>
                <w:b/>
                <w:bCs/>
                <w:sz w:val="18"/>
                <w:szCs w:val="18"/>
              </w:rPr>
            </w:pPr>
            <w:r w:rsidRPr="00A62425">
              <w:rPr>
                <w:rFonts w:ascii="Arial" w:hAnsi="Arial" w:cs="Arial"/>
                <w:b/>
                <w:bCs/>
                <w:sz w:val="18"/>
                <w:szCs w:val="18"/>
              </w:rPr>
              <w:t>Transparency/Ownership</w:t>
            </w:r>
          </w:p>
        </w:tc>
        <w:tc>
          <w:tcPr>
            <w:tcW w:w="1800" w:type="dxa"/>
            <w:tcBorders>
              <w:left w:val="single" w:sz="4" w:space="0" w:color="auto"/>
            </w:tcBorders>
          </w:tcPr>
          <w:p w14:paraId="437FEBB7" w14:textId="38666E39"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Individual, partnership or agent acting for well-established third-party individual residing in Australia, or a simple business structure for which all beneficial owners are Australian residents</w:t>
            </w:r>
          </w:p>
        </w:tc>
        <w:tc>
          <w:tcPr>
            <w:tcW w:w="1980" w:type="dxa"/>
          </w:tcPr>
          <w:p w14:paraId="1D82B475" w14:textId="379D5836" w:rsidR="00C65650" w:rsidRPr="00771945" w:rsidRDefault="00C65650" w:rsidP="00C65650">
            <w:pPr>
              <w:spacing w:line="276" w:lineRule="auto"/>
              <w:rPr>
                <w:rFonts w:asciiTheme="majorHAnsi" w:hAnsiTheme="majorHAnsi" w:cs="Arial"/>
                <w:sz w:val="18"/>
                <w:szCs w:val="18"/>
              </w:rPr>
            </w:pPr>
            <w:r w:rsidRPr="00771945">
              <w:rPr>
                <w:rFonts w:asciiTheme="majorHAnsi" w:hAnsiTheme="majorHAnsi" w:cs="Arial"/>
                <w:sz w:val="18"/>
                <w:szCs w:val="18"/>
              </w:rPr>
              <w:t>Entity with multiple layers for which beneficial ownership (e.g. over 25</w:t>
            </w:r>
            <w:r w:rsidR="00C44ECE">
              <w:rPr>
                <w:rFonts w:asciiTheme="majorHAnsi" w:hAnsiTheme="majorHAnsi" w:cs="Arial"/>
                <w:sz w:val="18"/>
                <w:szCs w:val="18"/>
              </w:rPr>
              <w:t xml:space="preserve"> per cent</w:t>
            </w:r>
            <w:r w:rsidR="00C44ECE" w:rsidRPr="00771945">
              <w:rPr>
                <w:rFonts w:asciiTheme="majorHAnsi" w:hAnsiTheme="majorHAnsi" w:cs="Arial"/>
                <w:sz w:val="18"/>
                <w:szCs w:val="18"/>
              </w:rPr>
              <w:t xml:space="preserve">) </w:t>
            </w:r>
            <w:r w:rsidRPr="00771945">
              <w:rPr>
                <w:rFonts w:asciiTheme="majorHAnsi" w:hAnsiTheme="majorHAnsi" w:cs="Arial"/>
                <w:sz w:val="18"/>
                <w:szCs w:val="18"/>
              </w:rPr>
              <w:t xml:space="preserve">and control can be established with a degree of certainty, or agent acting on behalf of a third-party entity overseas </w:t>
            </w:r>
          </w:p>
          <w:p w14:paraId="3A51B256" w14:textId="77777777"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 xml:space="preserve"> </w:t>
            </w:r>
          </w:p>
        </w:tc>
        <w:tc>
          <w:tcPr>
            <w:tcW w:w="1890" w:type="dxa"/>
          </w:tcPr>
          <w:p w14:paraId="6B33722B" w14:textId="77777777"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Entity with complex corporate or trust structures with multiple layers, offshore owners or unexplained intermediaries for which beneficial ownership and/or control cannot be clearly established</w:t>
            </w:r>
          </w:p>
        </w:tc>
      </w:tr>
      <w:tr w:rsidR="00C65650" w:rsidRPr="00453C15" w14:paraId="66C5CEC3" w14:textId="77777777" w:rsidTr="00C65650">
        <w:trPr>
          <w:trHeight w:val="2160"/>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B3555" w14:textId="2E20B903" w:rsidR="00C65650" w:rsidRPr="00A62425" w:rsidRDefault="00C65650" w:rsidP="00C65650">
            <w:pPr>
              <w:rPr>
                <w:rFonts w:ascii="Arial" w:hAnsi="Arial" w:cs="Arial"/>
                <w:b/>
                <w:bCs/>
                <w:sz w:val="18"/>
                <w:szCs w:val="18"/>
              </w:rPr>
            </w:pPr>
            <w:r w:rsidRPr="00A62425">
              <w:rPr>
                <w:rFonts w:ascii="Arial" w:hAnsi="Arial" w:cs="Arial"/>
                <w:b/>
                <w:bCs/>
                <w:sz w:val="18"/>
                <w:szCs w:val="18"/>
              </w:rPr>
              <w:t>Residency/</w:t>
            </w:r>
            <w:r w:rsidR="00AF3C6C">
              <w:rPr>
                <w:rFonts w:ascii="Arial" w:hAnsi="Arial" w:cs="Arial"/>
                <w:b/>
                <w:bCs/>
                <w:sz w:val="18"/>
                <w:szCs w:val="18"/>
              </w:rPr>
              <w:br/>
            </w:r>
            <w:r w:rsidR="00984341">
              <w:rPr>
                <w:rFonts w:ascii="Arial" w:hAnsi="Arial" w:cs="Arial"/>
                <w:b/>
                <w:bCs/>
                <w:sz w:val="18"/>
                <w:szCs w:val="18"/>
              </w:rPr>
              <w:t>R</w:t>
            </w:r>
            <w:r w:rsidRPr="00A62425">
              <w:rPr>
                <w:rFonts w:ascii="Arial" w:hAnsi="Arial" w:cs="Arial"/>
                <w:b/>
                <w:bCs/>
                <w:sz w:val="18"/>
                <w:szCs w:val="18"/>
              </w:rPr>
              <w:t xml:space="preserve">egistration </w:t>
            </w:r>
          </w:p>
        </w:tc>
        <w:tc>
          <w:tcPr>
            <w:tcW w:w="1800" w:type="dxa"/>
            <w:tcBorders>
              <w:left w:val="single" w:sz="4" w:space="0" w:color="auto"/>
            </w:tcBorders>
          </w:tcPr>
          <w:p w14:paraId="7129C4C2" w14:textId="77777777"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 xml:space="preserve">Australian resident or entity registered solely in Australia </w:t>
            </w:r>
          </w:p>
        </w:tc>
        <w:tc>
          <w:tcPr>
            <w:tcW w:w="1980" w:type="dxa"/>
          </w:tcPr>
          <w:p w14:paraId="6A6E403C" w14:textId="25D59882"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Resident of, or entity registered in</w:t>
            </w:r>
            <w:r w:rsidR="00984341">
              <w:rPr>
                <w:rFonts w:asciiTheme="majorHAnsi" w:hAnsiTheme="majorHAnsi" w:cs="Arial"/>
                <w:sz w:val="18"/>
                <w:szCs w:val="18"/>
              </w:rPr>
              <w:t xml:space="preserve"> or</w:t>
            </w:r>
            <w:r w:rsidRPr="00771945">
              <w:rPr>
                <w:rFonts w:asciiTheme="majorHAnsi" w:hAnsiTheme="majorHAnsi" w:cs="Arial"/>
                <w:sz w:val="18"/>
                <w:szCs w:val="18"/>
              </w:rPr>
              <w:t xml:space="preserve"> linked to low-risk</w:t>
            </w:r>
            <w:r w:rsidR="00056FA0">
              <w:rPr>
                <w:rFonts w:asciiTheme="majorHAnsi" w:hAnsiTheme="majorHAnsi" w:cs="Arial"/>
                <w:sz w:val="18"/>
                <w:szCs w:val="18"/>
              </w:rPr>
              <w:t xml:space="preserve"> Financial Act</w:t>
            </w:r>
            <w:r w:rsidR="00514DB5">
              <w:rPr>
                <w:rFonts w:asciiTheme="majorHAnsi" w:hAnsiTheme="majorHAnsi" w:cs="Arial"/>
                <w:sz w:val="18"/>
                <w:szCs w:val="18"/>
              </w:rPr>
              <w:t>i</w:t>
            </w:r>
            <w:r w:rsidR="00056FA0">
              <w:rPr>
                <w:rFonts w:asciiTheme="majorHAnsi" w:hAnsiTheme="majorHAnsi" w:cs="Arial"/>
                <w:sz w:val="18"/>
                <w:szCs w:val="18"/>
              </w:rPr>
              <w:t>on Task Force (</w:t>
            </w:r>
            <w:r w:rsidRPr="00771945">
              <w:rPr>
                <w:rFonts w:asciiTheme="majorHAnsi" w:hAnsiTheme="majorHAnsi" w:cs="Arial"/>
                <w:sz w:val="18"/>
                <w:szCs w:val="18"/>
              </w:rPr>
              <w:t>FATF</w:t>
            </w:r>
            <w:r w:rsidR="00056FA0">
              <w:rPr>
                <w:rFonts w:asciiTheme="majorHAnsi" w:hAnsiTheme="majorHAnsi" w:cs="Arial"/>
                <w:sz w:val="18"/>
                <w:szCs w:val="18"/>
              </w:rPr>
              <w:t>)</w:t>
            </w:r>
            <w:r w:rsidRPr="00771945">
              <w:rPr>
                <w:rFonts w:asciiTheme="majorHAnsi" w:hAnsiTheme="majorHAnsi" w:cs="Arial"/>
                <w:sz w:val="18"/>
                <w:szCs w:val="18"/>
              </w:rPr>
              <w:t xml:space="preserve"> jurisdiction</w:t>
            </w:r>
          </w:p>
        </w:tc>
        <w:tc>
          <w:tcPr>
            <w:tcW w:w="1890" w:type="dxa"/>
          </w:tcPr>
          <w:p w14:paraId="22A31E15" w14:textId="0E4876D1" w:rsidR="00C65650" w:rsidRPr="00771945" w:rsidRDefault="00C65650" w:rsidP="00C65650">
            <w:pPr>
              <w:spacing w:before="60" w:line="276" w:lineRule="auto"/>
              <w:rPr>
                <w:rFonts w:asciiTheme="majorHAnsi" w:hAnsiTheme="majorHAnsi" w:cs="Arial"/>
                <w:sz w:val="16"/>
                <w:szCs w:val="16"/>
              </w:rPr>
            </w:pPr>
            <w:r w:rsidRPr="00771945">
              <w:rPr>
                <w:rFonts w:asciiTheme="majorHAnsi" w:hAnsiTheme="majorHAnsi" w:cs="Arial"/>
                <w:sz w:val="18"/>
                <w:szCs w:val="18"/>
              </w:rPr>
              <w:t>Resident of, or entity registered in or linked to high-risk FATF jurisdiction, known conflict zones, secrecy haven and/or sanctioned regions</w:t>
            </w:r>
          </w:p>
        </w:tc>
      </w:tr>
      <w:tr w:rsidR="00C65650" w:rsidRPr="00453C15" w14:paraId="159C5473" w14:textId="77777777" w:rsidTr="00C65650">
        <w:trPr>
          <w:trHeight w:val="1620"/>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A0573" w14:textId="77777777" w:rsidR="00C65650" w:rsidRPr="00A62425" w:rsidRDefault="00C65650" w:rsidP="00C65650">
            <w:pPr>
              <w:rPr>
                <w:rFonts w:ascii="Arial" w:hAnsi="Arial" w:cs="Arial"/>
                <w:b/>
                <w:bCs/>
                <w:sz w:val="18"/>
                <w:szCs w:val="18"/>
              </w:rPr>
            </w:pPr>
            <w:r w:rsidRPr="00A62425">
              <w:rPr>
                <w:rFonts w:ascii="Arial" w:hAnsi="Arial" w:cs="Arial"/>
                <w:b/>
                <w:bCs/>
                <w:sz w:val="18"/>
                <w:szCs w:val="18"/>
              </w:rPr>
              <w:t>Behaviour</w:t>
            </w:r>
          </w:p>
        </w:tc>
        <w:tc>
          <w:tcPr>
            <w:tcW w:w="1800" w:type="dxa"/>
            <w:tcBorders>
              <w:left w:val="single" w:sz="4" w:space="0" w:color="auto"/>
            </w:tcBorders>
          </w:tcPr>
          <w:p w14:paraId="28CFFB39" w14:textId="77777777"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Cooperative and transparent</w:t>
            </w:r>
          </w:p>
        </w:tc>
        <w:tc>
          <w:tcPr>
            <w:tcW w:w="1980" w:type="dxa"/>
          </w:tcPr>
          <w:p w14:paraId="4DE58981" w14:textId="77777777" w:rsidR="00C65650" w:rsidRPr="00771945" w:rsidRDefault="00C65650" w:rsidP="00C65650">
            <w:pPr>
              <w:spacing w:line="276" w:lineRule="auto"/>
              <w:rPr>
                <w:rFonts w:asciiTheme="majorHAnsi" w:hAnsiTheme="majorHAnsi" w:cs="Arial"/>
                <w:sz w:val="16"/>
                <w:szCs w:val="16"/>
              </w:rPr>
            </w:pPr>
            <w:r w:rsidRPr="00771945">
              <w:rPr>
                <w:rFonts w:asciiTheme="majorHAnsi" w:hAnsiTheme="majorHAnsi" w:cs="Arial"/>
                <w:sz w:val="18"/>
                <w:szCs w:val="18"/>
              </w:rPr>
              <w:t>Slow or incomplete documentation</w:t>
            </w:r>
          </w:p>
        </w:tc>
        <w:tc>
          <w:tcPr>
            <w:tcW w:w="1890" w:type="dxa"/>
          </w:tcPr>
          <w:p w14:paraId="79D904DC" w14:textId="0D02DD43" w:rsidR="00C65650" w:rsidRPr="00771945" w:rsidRDefault="00C65650" w:rsidP="00C65650">
            <w:pPr>
              <w:spacing w:before="60" w:line="276" w:lineRule="auto"/>
              <w:rPr>
                <w:rFonts w:asciiTheme="majorHAnsi" w:hAnsiTheme="majorHAnsi" w:cs="Arial"/>
                <w:sz w:val="16"/>
                <w:szCs w:val="16"/>
              </w:rPr>
            </w:pPr>
            <w:r w:rsidRPr="00771945">
              <w:rPr>
                <w:rFonts w:asciiTheme="majorHAnsi" w:hAnsiTheme="majorHAnsi" w:cs="Arial"/>
                <w:sz w:val="18"/>
                <w:szCs w:val="18"/>
              </w:rPr>
              <w:t>Refuses to provide information</w:t>
            </w:r>
            <w:r w:rsidR="00056FA0">
              <w:rPr>
                <w:rFonts w:asciiTheme="majorHAnsi" w:hAnsiTheme="majorHAnsi" w:cs="Arial"/>
                <w:sz w:val="18"/>
                <w:szCs w:val="18"/>
              </w:rPr>
              <w:t xml:space="preserve"> or </w:t>
            </w:r>
            <w:r w:rsidRPr="00771945">
              <w:rPr>
                <w:rFonts w:asciiTheme="majorHAnsi" w:hAnsiTheme="majorHAnsi" w:cs="Arial"/>
                <w:sz w:val="18"/>
                <w:szCs w:val="18"/>
              </w:rPr>
              <w:t xml:space="preserve">documentation, pressures to rush transactions and/or makes concerning enquiries </w:t>
            </w:r>
          </w:p>
        </w:tc>
      </w:tr>
      <w:tr w:rsidR="00C65650" w:rsidRPr="00453C15" w14:paraId="04BCAF83" w14:textId="77777777" w:rsidTr="00C65650">
        <w:trPr>
          <w:trHeight w:val="1518"/>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0823E" w14:textId="41EF02B2" w:rsidR="00C65650" w:rsidRPr="00A62425" w:rsidRDefault="00C65650" w:rsidP="00C65650">
            <w:pPr>
              <w:rPr>
                <w:rFonts w:ascii="Arial" w:hAnsi="Arial" w:cs="Arial"/>
                <w:b/>
                <w:bCs/>
                <w:sz w:val="18"/>
                <w:szCs w:val="18"/>
              </w:rPr>
            </w:pPr>
            <w:r w:rsidRPr="00A62425">
              <w:rPr>
                <w:rFonts w:ascii="Arial" w:hAnsi="Arial" w:cs="Arial"/>
                <w:b/>
                <w:bCs/>
                <w:sz w:val="18"/>
                <w:szCs w:val="18"/>
              </w:rPr>
              <w:t xml:space="preserve">Political </w:t>
            </w:r>
            <w:r w:rsidR="00FC26FF">
              <w:rPr>
                <w:rFonts w:ascii="Arial" w:hAnsi="Arial" w:cs="Arial"/>
                <w:b/>
                <w:bCs/>
                <w:sz w:val="18"/>
                <w:szCs w:val="18"/>
              </w:rPr>
              <w:t>e</w:t>
            </w:r>
            <w:r w:rsidRPr="00A62425">
              <w:rPr>
                <w:rFonts w:ascii="Arial" w:hAnsi="Arial" w:cs="Arial"/>
                <w:b/>
                <w:bCs/>
                <w:sz w:val="18"/>
                <w:szCs w:val="18"/>
              </w:rPr>
              <w:t xml:space="preserve">xposure </w:t>
            </w:r>
          </w:p>
        </w:tc>
        <w:tc>
          <w:tcPr>
            <w:tcW w:w="1800" w:type="dxa"/>
            <w:tcBorders>
              <w:left w:val="single" w:sz="4" w:space="0" w:color="auto"/>
            </w:tcBorders>
          </w:tcPr>
          <w:p w14:paraId="76713C6B" w14:textId="12096A88" w:rsidR="00C65650" w:rsidRPr="00771945" w:rsidRDefault="00C65650" w:rsidP="00C65650">
            <w:pPr>
              <w:spacing w:before="120" w:line="276" w:lineRule="auto"/>
              <w:rPr>
                <w:rFonts w:asciiTheme="majorHAnsi" w:hAnsiTheme="majorHAnsi" w:cs="Arial"/>
                <w:sz w:val="16"/>
                <w:szCs w:val="16"/>
              </w:rPr>
            </w:pPr>
            <w:r w:rsidRPr="00771945">
              <w:rPr>
                <w:rFonts w:asciiTheme="majorHAnsi" w:hAnsiTheme="majorHAnsi" w:cs="Arial"/>
                <w:sz w:val="18"/>
                <w:szCs w:val="18"/>
              </w:rPr>
              <w:t xml:space="preserve">No Politically Exposed Person (PEP) or their close family/associate involved </w:t>
            </w:r>
          </w:p>
        </w:tc>
        <w:tc>
          <w:tcPr>
            <w:tcW w:w="1980" w:type="dxa"/>
          </w:tcPr>
          <w:p w14:paraId="7127C20A" w14:textId="76D43A28" w:rsidR="00C65650" w:rsidRPr="00771945" w:rsidRDefault="00C65650" w:rsidP="00C65650">
            <w:pPr>
              <w:spacing w:before="120" w:line="276" w:lineRule="auto"/>
              <w:rPr>
                <w:rFonts w:asciiTheme="majorHAnsi" w:hAnsiTheme="majorHAnsi" w:cs="Arial"/>
                <w:sz w:val="16"/>
                <w:szCs w:val="16"/>
              </w:rPr>
            </w:pPr>
            <w:r w:rsidRPr="00771945">
              <w:rPr>
                <w:rFonts w:asciiTheme="majorHAnsi" w:hAnsiTheme="majorHAnsi" w:cs="Arial"/>
                <w:sz w:val="18"/>
                <w:szCs w:val="18"/>
              </w:rPr>
              <w:t>PEP involved who has held senior role</w:t>
            </w:r>
            <w:r w:rsidR="00056FA0">
              <w:rPr>
                <w:rFonts w:asciiTheme="majorHAnsi" w:hAnsiTheme="majorHAnsi" w:cs="Arial"/>
                <w:sz w:val="18"/>
                <w:szCs w:val="18"/>
              </w:rPr>
              <w:t>(</w:t>
            </w:r>
            <w:r w:rsidRPr="00771945">
              <w:rPr>
                <w:rFonts w:asciiTheme="majorHAnsi" w:hAnsiTheme="majorHAnsi" w:cs="Arial"/>
                <w:sz w:val="18"/>
                <w:szCs w:val="18"/>
              </w:rPr>
              <w:t>s</w:t>
            </w:r>
            <w:r w:rsidR="00056FA0">
              <w:rPr>
                <w:rFonts w:asciiTheme="majorHAnsi" w:hAnsiTheme="majorHAnsi" w:cs="Arial"/>
                <w:sz w:val="18"/>
                <w:szCs w:val="18"/>
              </w:rPr>
              <w:t>)</w:t>
            </w:r>
            <w:r w:rsidRPr="00771945">
              <w:rPr>
                <w:rFonts w:asciiTheme="majorHAnsi" w:hAnsiTheme="majorHAnsi" w:cs="Arial"/>
                <w:sz w:val="18"/>
                <w:szCs w:val="18"/>
              </w:rPr>
              <w:t xml:space="preserve"> in an international organisation, Australian government or their close family/associate </w:t>
            </w:r>
          </w:p>
        </w:tc>
        <w:tc>
          <w:tcPr>
            <w:tcW w:w="1890" w:type="dxa"/>
          </w:tcPr>
          <w:p w14:paraId="1D4BEC80" w14:textId="0865B274" w:rsidR="00C65650" w:rsidRPr="00771945" w:rsidRDefault="00C65650" w:rsidP="00C65650">
            <w:pPr>
              <w:spacing w:before="120" w:line="276" w:lineRule="auto"/>
              <w:rPr>
                <w:rFonts w:asciiTheme="majorHAnsi" w:hAnsiTheme="majorHAnsi" w:cs="Arial"/>
                <w:sz w:val="16"/>
                <w:szCs w:val="16"/>
              </w:rPr>
            </w:pPr>
            <w:r w:rsidRPr="00771945">
              <w:rPr>
                <w:rFonts w:asciiTheme="majorHAnsi" w:hAnsiTheme="majorHAnsi" w:cs="Arial"/>
                <w:sz w:val="18"/>
                <w:szCs w:val="18"/>
              </w:rPr>
              <w:t>PEP involved who has held, or holds, a senior role</w:t>
            </w:r>
            <w:r w:rsidR="00056FA0">
              <w:rPr>
                <w:rFonts w:asciiTheme="majorHAnsi" w:hAnsiTheme="majorHAnsi" w:cs="Arial"/>
                <w:sz w:val="18"/>
                <w:szCs w:val="18"/>
              </w:rPr>
              <w:t>(</w:t>
            </w:r>
            <w:r w:rsidRPr="00771945">
              <w:rPr>
                <w:rFonts w:asciiTheme="majorHAnsi" w:hAnsiTheme="majorHAnsi" w:cs="Arial"/>
                <w:sz w:val="18"/>
                <w:szCs w:val="18"/>
              </w:rPr>
              <w:t>s</w:t>
            </w:r>
            <w:r w:rsidR="00056FA0">
              <w:rPr>
                <w:rFonts w:asciiTheme="majorHAnsi" w:hAnsiTheme="majorHAnsi" w:cs="Arial"/>
                <w:sz w:val="18"/>
                <w:szCs w:val="18"/>
              </w:rPr>
              <w:t>)</w:t>
            </w:r>
            <w:r w:rsidRPr="00771945">
              <w:rPr>
                <w:rFonts w:asciiTheme="majorHAnsi" w:hAnsiTheme="majorHAnsi" w:cs="Arial"/>
                <w:sz w:val="18"/>
                <w:szCs w:val="18"/>
              </w:rPr>
              <w:t xml:space="preserve"> in a foreign country’s government or their close family/associate</w:t>
            </w:r>
          </w:p>
        </w:tc>
      </w:tr>
    </w:tbl>
    <w:tbl>
      <w:tblPr>
        <w:tblStyle w:val="TableGrid"/>
        <w:tblpPr w:leftFromText="180" w:rightFromText="180" w:vertAnchor="text" w:horzAnchor="margin" w:tblpXSpec="right" w:tblpY="8876"/>
        <w:tblW w:w="7328" w:type="dxa"/>
        <w:tblLook w:val="04A0" w:firstRow="1" w:lastRow="0" w:firstColumn="1" w:lastColumn="0" w:noHBand="0" w:noVBand="1"/>
      </w:tblPr>
      <w:tblGrid>
        <w:gridCol w:w="1298"/>
        <w:gridCol w:w="1716"/>
        <w:gridCol w:w="1981"/>
        <w:gridCol w:w="2333"/>
      </w:tblGrid>
      <w:tr w:rsidR="00DC3AED" w:rsidRPr="006C1510" w14:paraId="080ABEAB" w14:textId="77777777" w:rsidTr="002C0904">
        <w:trPr>
          <w:trHeight w:val="339"/>
        </w:trPr>
        <w:tc>
          <w:tcPr>
            <w:tcW w:w="7328" w:type="dxa"/>
            <w:gridSpan w:val="4"/>
            <w:tcBorders>
              <w:top w:val="nil"/>
              <w:left w:val="nil"/>
              <w:bottom w:val="nil"/>
              <w:right w:val="nil"/>
            </w:tcBorders>
            <w:vAlign w:val="center"/>
          </w:tcPr>
          <w:p w14:paraId="72ECFA6E" w14:textId="77777777" w:rsidR="00DC3AED" w:rsidRPr="00C65650" w:rsidRDefault="00DC3AED" w:rsidP="00DC3AED">
            <w:pPr>
              <w:jc w:val="center"/>
              <w:rPr>
                <w:rFonts w:ascii="Arial" w:hAnsi="Arial" w:cs="Arial"/>
                <w:b/>
                <w:bCs/>
                <w:color w:val="002060"/>
                <w:sz w:val="24"/>
                <w:szCs w:val="24"/>
              </w:rPr>
            </w:pPr>
            <w:r w:rsidRPr="00C65650">
              <w:rPr>
                <w:rFonts w:ascii="Arial" w:hAnsi="Arial" w:cs="Arial"/>
                <w:b/>
                <w:bCs/>
                <w:color w:val="002060"/>
                <w:sz w:val="24"/>
                <w:szCs w:val="24"/>
              </w:rPr>
              <w:t>Delivery Channel Factors</w:t>
            </w:r>
          </w:p>
          <w:p w14:paraId="085034EB" w14:textId="77777777" w:rsidR="00DC3AED" w:rsidRPr="00C65650" w:rsidRDefault="00DC3AED" w:rsidP="00DC3AED">
            <w:pPr>
              <w:jc w:val="center"/>
              <w:rPr>
                <w:rFonts w:ascii="Arial" w:hAnsi="Arial" w:cs="Arial"/>
                <w:color w:val="002060"/>
                <w:sz w:val="28"/>
                <w:szCs w:val="28"/>
              </w:rPr>
            </w:pPr>
            <w:r w:rsidRPr="00C65650">
              <w:rPr>
                <w:rFonts w:ascii="Arial" w:hAnsi="Arial" w:cs="Arial"/>
                <w:color w:val="EE0000"/>
                <w:sz w:val="24"/>
                <w:szCs w:val="24"/>
              </w:rPr>
              <w:t>(EXAMPLES ONLY)</w:t>
            </w:r>
          </w:p>
        </w:tc>
      </w:tr>
      <w:tr w:rsidR="00DC3AED" w:rsidRPr="006C1510" w14:paraId="597A5C1B" w14:textId="77777777" w:rsidTr="002C0904">
        <w:trPr>
          <w:trHeight w:val="339"/>
        </w:trPr>
        <w:tc>
          <w:tcPr>
            <w:tcW w:w="1298" w:type="dxa"/>
            <w:tcBorders>
              <w:top w:val="nil"/>
              <w:left w:val="nil"/>
              <w:bottom w:val="nil"/>
              <w:right w:val="single" w:sz="4" w:space="0" w:color="auto"/>
            </w:tcBorders>
            <w:vAlign w:val="center"/>
          </w:tcPr>
          <w:p w14:paraId="1F414871" w14:textId="77777777" w:rsidR="00DC3AED" w:rsidRPr="006C1510" w:rsidRDefault="00DC3AED" w:rsidP="00DC3AED">
            <w:pPr>
              <w:rPr>
                <w:i/>
                <w:iCs/>
                <w:sz w:val="18"/>
                <w:szCs w:val="18"/>
              </w:rPr>
            </w:pPr>
          </w:p>
        </w:tc>
        <w:tc>
          <w:tcPr>
            <w:tcW w:w="1716" w:type="dxa"/>
            <w:tcBorders>
              <w:top w:val="single" w:sz="4" w:space="0" w:color="auto"/>
              <w:left w:val="single" w:sz="4" w:space="0" w:color="auto"/>
            </w:tcBorders>
            <w:shd w:val="clear" w:color="auto" w:fill="78BE20" w:themeFill="accent3"/>
            <w:vAlign w:val="center"/>
          </w:tcPr>
          <w:p w14:paraId="2684D1DF" w14:textId="77777777" w:rsidR="00DC3AED" w:rsidRPr="00AF3C6C" w:rsidRDefault="00DC3AED" w:rsidP="00DC3AED">
            <w:pPr>
              <w:jc w:val="center"/>
              <w:rPr>
                <w:rFonts w:ascii="Arial" w:hAnsi="Arial" w:cs="Arial"/>
                <w:b/>
                <w:bCs/>
                <w:color w:val="FFFFFF" w:themeColor="background1"/>
                <w:sz w:val="20"/>
                <w:szCs w:val="20"/>
              </w:rPr>
            </w:pPr>
            <w:r w:rsidRPr="00AF3C6C">
              <w:rPr>
                <w:rFonts w:ascii="Arial" w:hAnsi="Arial" w:cs="Arial"/>
                <w:b/>
                <w:bCs/>
                <w:color w:val="FFFFFF" w:themeColor="background1"/>
                <w:sz w:val="20"/>
                <w:szCs w:val="20"/>
              </w:rPr>
              <w:t xml:space="preserve"> Low </w:t>
            </w:r>
          </w:p>
        </w:tc>
        <w:tc>
          <w:tcPr>
            <w:tcW w:w="1981" w:type="dxa"/>
            <w:tcBorders>
              <w:top w:val="single" w:sz="4" w:space="0" w:color="auto"/>
            </w:tcBorders>
            <w:shd w:val="clear" w:color="auto" w:fill="E6AF00"/>
            <w:vAlign w:val="center"/>
          </w:tcPr>
          <w:p w14:paraId="5074220A" w14:textId="77777777" w:rsidR="00DC3AED" w:rsidRPr="00AF3C6C" w:rsidRDefault="00DC3AED" w:rsidP="00DC3AED">
            <w:pPr>
              <w:jc w:val="center"/>
              <w:rPr>
                <w:rFonts w:ascii="Arial" w:hAnsi="Arial" w:cs="Arial"/>
                <w:b/>
                <w:bCs/>
                <w:color w:val="FFFFFF" w:themeColor="background1"/>
                <w:sz w:val="20"/>
                <w:szCs w:val="20"/>
              </w:rPr>
            </w:pPr>
            <w:r w:rsidRPr="00AF3C6C">
              <w:rPr>
                <w:rFonts w:ascii="Arial" w:hAnsi="Arial" w:cs="Arial"/>
                <w:b/>
                <w:bCs/>
                <w:color w:val="FFFFFF" w:themeColor="background1"/>
                <w:sz w:val="20"/>
                <w:szCs w:val="20"/>
              </w:rPr>
              <w:t xml:space="preserve">Medium </w:t>
            </w:r>
          </w:p>
        </w:tc>
        <w:tc>
          <w:tcPr>
            <w:tcW w:w="2333" w:type="dxa"/>
            <w:tcBorders>
              <w:top w:val="single" w:sz="4" w:space="0" w:color="auto"/>
            </w:tcBorders>
            <w:shd w:val="clear" w:color="auto" w:fill="C00000"/>
            <w:vAlign w:val="center"/>
          </w:tcPr>
          <w:p w14:paraId="124AC528" w14:textId="77777777" w:rsidR="00DC3AED" w:rsidRPr="00AF3C6C" w:rsidRDefault="00DC3AED" w:rsidP="00DC3AED">
            <w:pPr>
              <w:jc w:val="center"/>
              <w:rPr>
                <w:rFonts w:ascii="Arial" w:hAnsi="Arial" w:cs="Arial"/>
                <w:b/>
                <w:bCs/>
                <w:sz w:val="20"/>
                <w:szCs w:val="20"/>
              </w:rPr>
            </w:pPr>
            <w:r w:rsidRPr="00AF3C6C">
              <w:rPr>
                <w:rFonts w:ascii="Arial" w:hAnsi="Arial" w:cs="Arial"/>
                <w:b/>
                <w:bCs/>
                <w:sz w:val="20"/>
                <w:szCs w:val="20"/>
              </w:rPr>
              <w:t xml:space="preserve">High </w:t>
            </w:r>
          </w:p>
        </w:tc>
      </w:tr>
      <w:tr w:rsidR="00DC3AED" w:rsidRPr="006C1510" w14:paraId="47EF0384" w14:textId="77777777" w:rsidTr="002C0904">
        <w:trPr>
          <w:trHeight w:val="1441"/>
        </w:trPr>
        <w:tc>
          <w:tcPr>
            <w:tcW w:w="12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C6A13" w14:textId="77777777" w:rsidR="00DC3AED" w:rsidRPr="007A1363" w:rsidRDefault="00DC3AED" w:rsidP="00DC3AED">
            <w:pPr>
              <w:rPr>
                <w:rFonts w:ascii="Arial" w:hAnsi="Arial" w:cs="Arial"/>
                <w:b/>
                <w:bCs/>
                <w:sz w:val="18"/>
                <w:szCs w:val="18"/>
              </w:rPr>
            </w:pPr>
            <w:r w:rsidRPr="007A1363">
              <w:rPr>
                <w:rFonts w:ascii="Arial" w:hAnsi="Arial" w:cs="Arial"/>
                <w:b/>
                <w:bCs/>
                <w:sz w:val="18"/>
                <w:szCs w:val="18"/>
              </w:rPr>
              <w:t>Engagement channel</w:t>
            </w:r>
          </w:p>
        </w:tc>
        <w:tc>
          <w:tcPr>
            <w:tcW w:w="1716" w:type="dxa"/>
            <w:tcBorders>
              <w:left w:val="single" w:sz="4" w:space="0" w:color="auto"/>
            </w:tcBorders>
          </w:tcPr>
          <w:p w14:paraId="30EE34D1" w14:textId="407BC41D" w:rsidR="00DC3AED" w:rsidRPr="00771945" w:rsidRDefault="00DC3AED" w:rsidP="00DC3AED">
            <w:pPr>
              <w:spacing w:before="60"/>
              <w:rPr>
                <w:rFonts w:asciiTheme="majorHAnsi" w:hAnsiTheme="majorHAnsi" w:cs="Arial"/>
                <w:color w:val="000000" w:themeColor="text1"/>
                <w:sz w:val="16"/>
                <w:szCs w:val="16"/>
              </w:rPr>
            </w:pPr>
            <w:r w:rsidRPr="00771945">
              <w:rPr>
                <w:rFonts w:asciiTheme="majorHAnsi" w:hAnsiTheme="majorHAnsi" w:cs="Arial"/>
                <w:color w:val="000000" w:themeColor="text1"/>
                <w:sz w:val="18"/>
                <w:szCs w:val="18"/>
              </w:rPr>
              <w:t xml:space="preserve">Service delivered in person and/or through secure and traceable channels, with all parties verified </w:t>
            </w:r>
          </w:p>
        </w:tc>
        <w:tc>
          <w:tcPr>
            <w:tcW w:w="1981" w:type="dxa"/>
          </w:tcPr>
          <w:p w14:paraId="3D6D0E91" w14:textId="38D8775E" w:rsidR="00DC3AED" w:rsidRPr="00771945" w:rsidRDefault="00DC3AED" w:rsidP="00DC3AED">
            <w:pPr>
              <w:spacing w:before="60"/>
              <w:rPr>
                <w:rFonts w:asciiTheme="majorHAnsi" w:hAnsiTheme="majorHAnsi" w:cs="Arial"/>
                <w:color w:val="000000" w:themeColor="text1"/>
                <w:sz w:val="16"/>
                <w:szCs w:val="16"/>
              </w:rPr>
            </w:pPr>
            <w:r w:rsidRPr="00771945">
              <w:rPr>
                <w:rFonts w:asciiTheme="majorHAnsi" w:hAnsiTheme="majorHAnsi" w:cs="Arial"/>
                <w:color w:val="000000" w:themeColor="text1"/>
                <w:sz w:val="18"/>
                <w:szCs w:val="18"/>
              </w:rPr>
              <w:t xml:space="preserve">Service delivered through remote or mixed channels with some verification issues (e.g. email, phone, </w:t>
            </w:r>
            <w:r w:rsidR="00FC26FF">
              <w:rPr>
                <w:rFonts w:asciiTheme="majorHAnsi" w:hAnsiTheme="majorHAnsi" w:cs="Arial"/>
                <w:color w:val="000000" w:themeColor="text1"/>
                <w:sz w:val="18"/>
                <w:szCs w:val="18"/>
              </w:rPr>
              <w:t>T</w:t>
            </w:r>
            <w:r w:rsidRPr="00771945">
              <w:rPr>
                <w:rFonts w:asciiTheme="majorHAnsi" w:hAnsiTheme="majorHAnsi" w:cs="Arial"/>
                <w:color w:val="000000" w:themeColor="text1"/>
                <w:sz w:val="18"/>
                <w:szCs w:val="18"/>
              </w:rPr>
              <w:t>eams)</w:t>
            </w:r>
          </w:p>
        </w:tc>
        <w:tc>
          <w:tcPr>
            <w:tcW w:w="2333" w:type="dxa"/>
          </w:tcPr>
          <w:p w14:paraId="1BD4A5F2" w14:textId="440010AA" w:rsidR="00DC3AED" w:rsidRPr="00771945" w:rsidRDefault="00DC3AED" w:rsidP="00DC3AED">
            <w:pPr>
              <w:spacing w:before="60"/>
              <w:rPr>
                <w:rFonts w:asciiTheme="majorHAnsi" w:hAnsiTheme="majorHAnsi" w:cs="Arial"/>
                <w:color w:val="000000" w:themeColor="text1"/>
                <w:sz w:val="16"/>
                <w:szCs w:val="16"/>
              </w:rPr>
            </w:pPr>
            <w:r w:rsidRPr="00771945">
              <w:rPr>
                <w:rFonts w:asciiTheme="majorHAnsi" w:hAnsiTheme="majorHAnsi" w:cs="Arial"/>
                <w:color w:val="000000" w:themeColor="text1"/>
                <w:sz w:val="18"/>
                <w:szCs w:val="18"/>
              </w:rPr>
              <w:t xml:space="preserve">Service delivered through channels that are very hard to verify (e.g. intermediaries, messaging apps, encrypted platforms) and/or with no direct verification of key parties    </w:t>
            </w:r>
          </w:p>
        </w:tc>
      </w:tr>
      <w:tr w:rsidR="00DC3AED" w:rsidRPr="006C1510" w14:paraId="177F0952" w14:textId="77777777" w:rsidTr="002C0904">
        <w:trPr>
          <w:trHeight w:val="444"/>
        </w:trPr>
        <w:tc>
          <w:tcPr>
            <w:tcW w:w="12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66A72F" w14:textId="518C27F1" w:rsidR="00DC3AED" w:rsidRPr="007A1363" w:rsidRDefault="00DC3AED" w:rsidP="00DC3AED">
            <w:pPr>
              <w:rPr>
                <w:rFonts w:ascii="Arial" w:hAnsi="Arial" w:cs="Arial"/>
                <w:b/>
                <w:bCs/>
                <w:sz w:val="18"/>
                <w:szCs w:val="18"/>
              </w:rPr>
            </w:pPr>
            <w:r w:rsidRPr="007A1363">
              <w:rPr>
                <w:rFonts w:ascii="Arial" w:hAnsi="Arial" w:cs="Arial"/>
                <w:b/>
                <w:bCs/>
                <w:sz w:val="18"/>
                <w:szCs w:val="18"/>
              </w:rPr>
              <w:t xml:space="preserve">Payment </w:t>
            </w:r>
            <w:r w:rsidR="00FC26FF">
              <w:rPr>
                <w:rFonts w:ascii="Arial" w:hAnsi="Arial" w:cs="Arial"/>
                <w:b/>
                <w:bCs/>
                <w:sz w:val="18"/>
                <w:szCs w:val="18"/>
              </w:rPr>
              <w:t>p</w:t>
            </w:r>
            <w:r w:rsidRPr="007A1363">
              <w:rPr>
                <w:rFonts w:ascii="Arial" w:hAnsi="Arial" w:cs="Arial"/>
                <w:b/>
                <w:bCs/>
                <w:sz w:val="18"/>
                <w:szCs w:val="18"/>
              </w:rPr>
              <w:t xml:space="preserve">athway </w:t>
            </w:r>
          </w:p>
        </w:tc>
        <w:tc>
          <w:tcPr>
            <w:tcW w:w="1716" w:type="dxa"/>
            <w:tcBorders>
              <w:lef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DC3AED" w:rsidRPr="006B2235" w14:paraId="47BB4EF4" w14:textId="77777777">
              <w:trPr>
                <w:tblCellSpacing w:w="15" w:type="dxa"/>
              </w:trPr>
              <w:tc>
                <w:tcPr>
                  <w:tcW w:w="0" w:type="auto"/>
                  <w:vAlign w:val="center"/>
                  <w:hideMark/>
                </w:tcPr>
                <w:p w14:paraId="782893CE" w14:textId="77777777" w:rsidR="00DC3AED" w:rsidRPr="00AF3C6C" w:rsidRDefault="00DC3AED" w:rsidP="009F0BEE">
                  <w:pPr>
                    <w:framePr w:hSpace="180" w:wrap="around" w:vAnchor="text" w:hAnchor="margin" w:xAlign="right" w:y="8876"/>
                    <w:spacing w:before="60" w:after="0" w:line="276" w:lineRule="auto"/>
                    <w:rPr>
                      <w:rFonts w:asciiTheme="majorHAnsi" w:hAnsiTheme="majorHAnsi" w:cs="Arial"/>
                      <w:color w:val="000000" w:themeColor="text1"/>
                      <w:sz w:val="18"/>
                      <w:szCs w:val="18"/>
                    </w:rPr>
                  </w:pPr>
                  <w:r w:rsidRPr="00AF3C6C">
                    <w:rPr>
                      <w:rFonts w:asciiTheme="majorHAnsi" w:hAnsiTheme="majorHAnsi" w:cs="Arial"/>
                      <w:color w:val="000000" w:themeColor="text1"/>
                      <w:sz w:val="18"/>
                      <w:szCs w:val="18"/>
                    </w:rPr>
                    <w:t>Single regulated institution</w:t>
                  </w:r>
                </w:p>
              </w:tc>
            </w:tr>
          </w:tbl>
          <w:p w14:paraId="77D0D010" w14:textId="77777777" w:rsidR="00DC3AED" w:rsidRPr="00AF3C6C" w:rsidRDefault="00DC3AED" w:rsidP="00DC3AED">
            <w:pPr>
              <w:spacing w:line="276" w:lineRule="auto"/>
              <w:rPr>
                <w:rFonts w:asciiTheme="majorHAnsi" w:hAnsiTheme="majorHAnsi" w:cs="Arial"/>
                <w:color w:val="000000" w:themeColor="text1"/>
                <w:sz w:val="18"/>
                <w:szCs w:val="18"/>
              </w:rPr>
            </w:pPr>
          </w:p>
        </w:tc>
        <w:tc>
          <w:tcPr>
            <w:tcW w:w="19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5"/>
            </w:tblGrid>
            <w:tr w:rsidR="00DC3AED" w:rsidRPr="006B2235" w14:paraId="22D185DC" w14:textId="77777777">
              <w:trPr>
                <w:tblCellSpacing w:w="15" w:type="dxa"/>
              </w:trPr>
              <w:tc>
                <w:tcPr>
                  <w:tcW w:w="0" w:type="auto"/>
                  <w:vAlign w:val="center"/>
                  <w:hideMark/>
                </w:tcPr>
                <w:p w14:paraId="20CAE575" w14:textId="77777777" w:rsidR="00DC3AED" w:rsidRPr="00AF3C6C" w:rsidRDefault="00DC3AED" w:rsidP="009F0BEE">
                  <w:pPr>
                    <w:framePr w:hSpace="180" w:wrap="around" w:vAnchor="text" w:hAnchor="margin" w:xAlign="right" w:y="8876"/>
                    <w:spacing w:before="60" w:after="0" w:line="276" w:lineRule="auto"/>
                    <w:rPr>
                      <w:rFonts w:asciiTheme="majorHAnsi" w:hAnsiTheme="majorHAnsi" w:cs="Arial"/>
                      <w:color w:val="000000" w:themeColor="text1"/>
                      <w:sz w:val="18"/>
                      <w:szCs w:val="18"/>
                    </w:rPr>
                  </w:pPr>
                  <w:r w:rsidRPr="00AF3C6C">
                    <w:rPr>
                      <w:rFonts w:asciiTheme="majorHAnsi" w:hAnsiTheme="majorHAnsi" w:cs="Arial"/>
                      <w:color w:val="000000" w:themeColor="text1"/>
                      <w:sz w:val="18"/>
                      <w:szCs w:val="18"/>
                    </w:rPr>
                    <w:t>Multiple regulated institutions</w:t>
                  </w:r>
                </w:p>
              </w:tc>
            </w:tr>
          </w:tbl>
          <w:p w14:paraId="5B08FFEB" w14:textId="77777777" w:rsidR="00DC3AED" w:rsidRPr="00AF3C6C" w:rsidRDefault="00DC3AED" w:rsidP="00DC3AED">
            <w:pPr>
              <w:spacing w:line="276" w:lineRule="auto"/>
              <w:rPr>
                <w:rFonts w:asciiTheme="majorHAnsi" w:hAnsiTheme="majorHAnsi" w:cs="Arial"/>
                <w:color w:val="000000" w:themeColor="text1"/>
                <w:sz w:val="18"/>
                <w:szCs w:val="18"/>
              </w:rPr>
            </w:pPr>
          </w:p>
        </w:tc>
        <w:tc>
          <w:tcPr>
            <w:tcW w:w="23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7"/>
            </w:tblGrid>
            <w:tr w:rsidR="00DC3AED" w:rsidRPr="006B2235" w14:paraId="7F4177D1" w14:textId="77777777">
              <w:trPr>
                <w:tblCellSpacing w:w="15" w:type="dxa"/>
              </w:trPr>
              <w:tc>
                <w:tcPr>
                  <w:tcW w:w="0" w:type="auto"/>
                  <w:vAlign w:val="center"/>
                  <w:hideMark/>
                </w:tcPr>
                <w:p w14:paraId="034EC0A7" w14:textId="5B3F72A9" w:rsidR="00DC3AED" w:rsidRPr="00AF3C6C" w:rsidRDefault="00DC3AED" w:rsidP="009F0BEE">
                  <w:pPr>
                    <w:framePr w:hSpace="180" w:wrap="around" w:vAnchor="text" w:hAnchor="margin" w:xAlign="right" w:y="8876"/>
                    <w:spacing w:before="60" w:after="0" w:line="276" w:lineRule="auto"/>
                    <w:rPr>
                      <w:rFonts w:asciiTheme="majorHAnsi" w:hAnsiTheme="majorHAnsi" w:cs="Arial"/>
                      <w:color w:val="000000" w:themeColor="text1"/>
                      <w:sz w:val="18"/>
                      <w:szCs w:val="18"/>
                    </w:rPr>
                  </w:pPr>
                  <w:r w:rsidRPr="00AF3C6C">
                    <w:rPr>
                      <w:rFonts w:asciiTheme="majorHAnsi" w:hAnsiTheme="majorHAnsi" w:cs="Arial"/>
                      <w:color w:val="000000" w:themeColor="text1"/>
                      <w:sz w:val="18"/>
                      <w:szCs w:val="18"/>
                    </w:rPr>
                    <w:t>Fragmented payments</w:t>
                  </w:r>
                  <w:r w:rsidR="006B2235">
                    <w:rPr>
                      <w:rFonts w:asciiTheme="majorHAnsi" w:hAnsiTheme="majorHAnsi" w:cs="Arial"/>
                      <w:color w:val="000000" w:themeColor="text1"/>
                      <w:sz w:val="18"/>
                      <w:szCs w:val="18"/>
                    </w:rPr>
                    <w:t>,</w:t>
                  </w:r>
                  <w:r w:rsidR="006B2235" w:rsidRPr="00AF3C6C">
                    <w:rPr>
                      <w:rFonts w:asciiTheme="majorHAnsi" w:hAnsiTheme="majorHAnsi" w:cs="Arial"/>
                      <w:color w:val="000000" w:themeColor="text1"/>
                      <w:sz w:val="18"/>
                      <w:szCs w:val="18"/>
                    </w:rPr>
                    <w:t xml:space="preserve"> </w:t>
                  </w:r>
                  <w:r w:rsidRPr="00AF3C6C">
                    <w:rPr>
                      <w:rFonts w:asciiTheme="majorHAnsi" w:hAnsiTheme="majorHAnsi" w:cs="Arial"/>
                      <w:color w:val="000000" w:themeColor="text1"/>
                      <w:sz w:val="18"/>
                      <w:szCs w:val="18"/>
                    </w:rPr>
                    <w:t>unrelated third parties</w:t>
                  </w:r>
                  <w:r w:rsidR="006B2235">
                    <w:rPr>
                      <w:rFonts w:asciiTheme="majorHAnsi" w:hAnsiTheme="majorHAnsi" w:cs="Arial"/>
                      <w:color w:val="000000" w:themeColor="text1"/>
                      <w:sz w:val="18"/>
                      <w:szCs w:val="18"/>
                    </w:rPr>
                    <w:t>,</w:t>
                  </w:r>
                  <w:r w:rsidR="006B2235" w:rsidRPr="00AF3C6C">
                    <w:rPr>
                      <w:rFonts w:asciiTheme="majorHAnsi" w:hAnsiTheme="majorHAnsi" w:cs="Arial"/>
                      <w:color w:val="000000" w:themeColor="text1"/>
                      <w:sz w:val="18"/>
                      <w:szCs w:val="18"/>
                    </w:rPr>
                    <w:t xml:space="preserve"> </w:t>
                  </w:r>
                  <w:r w:rsidRPr="00AF3C6C">
                    <w:rPr>
                      <w:rFonts w:asciiTheme="majorHAnsi" w:hAnsiTheme="majorHAnsi" w:cs="Arial"/>
                      <w:color w:val="000000" w:themeColor="text1"/>
                      <w:sz w:val="18"/>
                      <w:szCs w:val="18"/>
                    </w:rPr>
                    <w:t>cash or crypto component</w:t>
                  </w:r>
                </w:p>
              </w:tc>
            </w:tr>
          </w:tbl>
          <w:p w14:paraId="0D9E9321" w14:textId="77777777" w:rsidR="00DC3AED" w:rsidRPr="00AF3C6C" w:rsidRDefault="00DC3AED" w:rsidP="00DC3AED">
            <w:pPr>
              <w:spacing w:line="276" w:lineRule="auto"/>
              <w:rPr>
                <w:rFonts w:asciiTheme="majorHAnsi" w:hAnsiTheme="majorHAnsi" w:cs="Arial"/>
                <w:color w:val="000000" w:themeColor="text1"/>
                <w:sz w:val="18"/>
                <w:szCs w:val="18"/>
              </w:rPr>
            </w:pPr>
          </w:p>
        </w:tc>
      </w:tr>
    </w:tbl>
    <w:p w14:paraId="4565E303" w14:textId="77777777" w:rsidR="00385BD3" w:rsidRPr="00453C15" w:rsidRDefault="00385BD3" w:rsidP="00044674">
      <w:pPr>
        <w:rPr>
          <w:rFonts w:ascii="Arial" w:hAnsi="Arial" w:cs="Arial"/>
          <w:sz w:val="26"/>
          <w:szCs w:val="26"/>
        </w:rPr>
      </w:pPr>
    </w:p>
    <w:p w14:paraId="209B0F9C" w14:textId="20F347F9" w:rsidR="00450934" w:rsidRPr="00A62425" w:rsidRDefault="00450934" w:rsidP="00D21150">
      <w:pPr>
        <w:rPr>
          <w:rFonts w:ascii="Arial" w:hAnsi="Arial" w:cs="Arial"/>
          <w:b/>
          <w:bCs/>
        </w:rPr>
      </w:pPr>
    </w:p>
    <w:p w14:paraId="7AC887FA" w14:textId="77777777" w:rsidR="006C1510" w:rsidRDefault="006C1510" w:rsidP="00D21150">
      <w:pPr>
        <w:rPr>
          <w:rFonts w:ascii="Arial" w:hAnsi="Arial" w:cs="Arial"/>
          <w:b/>
          <w:bCs/>
        </w:rPr>
      </w:pPr>
    </w:p>
    <w:p w14:paraId="7689530A" w14:textId="77777777" w:rsidR="006C1510" w:rsidRDefault="006C1510" w:rsidP="00D21150">
      <w:pPr>
        <w:rPr>
          <w:rFonts w:ascii="Arial" w:hAnsi="Arial" w:cs="Arial"/>
          <w:b/>
          <w:bCs/>
        </w:rPr>
      </w:pPr>
    </w:p>
    <w:sectPr w:rsidR="006C1510" w:rsidSect="00C65650">
      <w:type w:val="continuous"/>
      <w:pgSz w:w="23811" w:h="16838" w:orient="landscape" w:code="8"/>
      <w:pgMar w:top="288" w:right="720" w:bottom="720" w:left="72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D63D" w14:textId="77777777" w:rsidR="00B904AD" w:rsidRPr="00453C15" w:rsidRDefault="00B904AD" w:rsidP="00485054">
      <w:pPr>
        <w:spacing w:after="0" w:line="240" w:lineRule="auto"/>
      </w:pPr>
      <w:r w:rsidRPr="00453C15">
        <w:separator/>
      </w:r>
    </w:p>
  </w:endnote>
  <w:endnote w:type="continuationSeparator" w:id="0">
    <w:p w14:paraId="44F9DA41" w14:textId="77777777" w:rsidR="00B904AD" w:rsidRPr="00453C15" w:rsidRDefault="00B904AD" w:rsidP="00485054">
      <w:pPr>
        <w:spacing w:after="0" w:line="240" w:lineRule="auto"/>
      </w:pPr>
      <w:r w:rsidRPr="00453C15">
        <w:continuationSeparator/>
      </w:r>
    </w:p>
  </w:endnote>
  <w:endnote w:type="continuationNotice" w:id="1">
    <w:p w14:paraId="0F4BAACB" w14:textId="77777777" w:rsidR="00B904AD" w:rsidRPr="00453C15" w:rsidRDefault="00B90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5F79" w14:textId="2C1EA15A" w:rsidR="162A2F37" w:rsidRPr="00C65650" w:rsidRDefault="00C65650" w:rsidP="00C65650">
    <w:pPr>
      <w:pStyle w:val="Footer"/>
      <w:pBdr>
        <w:top w:val="single" w:sz="4" w:space="1" w:color="D9D9D9" w:themeColor="background1" w:themeShade="D9"/>
      </w:pBdr>
      <w:rPr>
        <w:rFonts w:ascii="Arial" w:hAnsi="Arial" w:cs="Arial"/>
        <w:sz w:val="13"/>
        <w:szCs w:val="13"/>
      </w:rPr>
    </w:pPr>
    <w:r w:rsidRPr="00C72778">
      <w:rPr>
        <w:rFonts w:ascii="Arial" w:hAnsi="Arial" w:cs="Arial"/>
        <w:sz w:val="13"/>
        <w:szCs w:val="13"/>
      </w:rPr>
      <w:t xml:space="preserve">MARCH 2026 </w:t>
    </w:r>
    <w:r>
      <w:rPr>
        <w:rFonts w:ascii="Arial" w:hAnsi="Arial" w:cs="Arial"/>
        <w:sz w:val="13"/>
        <w:szCs w:val="13"/>
      </w:rPr>
      <w:t xml:space="preserve">              </w:t>
    </w:r>
    <w:r w:rsidRPr="00C72778">
      <w:rPr>
        <w:rFonts w:ascii="Arial" w:hAnsi="Arial" w:cs="Arial"/>
        <w:sz w:val="13"/>
        <w:szCs w:val="13"/>
      </w:rPr>
      <w:t xml:space="preserve">These examples are </w:t>
    </w:r>
    <w:r w:rsidRPr="00C72778">
      <w:rPr>
        <w:rStyle w:val="Strong"/>
        <w:rFonts w:ascii="Arial" w:hAnsi="Arial" w:cs="Arial"/>
        <w:sz w:val="13"/>
        <w:szCs w:val="13"/>
      </w:rPr>
      <w:t>for educational purposes only </w:t>
    </w:r>
    <w:r w:rsidRPr="00C72778">
      <w:rPr>
        <w:rFonts w:ascii="Arial" w:hAnsi="Arial" w:cs="Arial"/>
        <w:sz w:val="13"/>
        <w:szCs w:val="13"/>
      </w:rPr>
      <w:t>and are not legal advice</w:t>
    </w:r>
    <w:r w:rsidRPr="00C72778">
      <w:rPr>
        <w:rStyle w:val="Strong"/>
        <w:rFonts w:ascii="Arial" w:hAnsi="Arial" w:cs="Arial"/>
        <w:sz w:val="13"/>
        <w:szCs w:val="13"/>
      </w:rPr>
      <w:t>.</w:t>
    </w:r>
    <w:r w:rsidRPr="00C72778">
      <w:rPr>
        <w:rFonts w:ascii="Arial" w:hAnsi="Arial" w:cs="Arial"/>
        <w:sz w:val="13"/>
        <w:szCs w:val="13"/>
      </w:rPr>
      <w:t xml:space="preserve"> This is not a prescriptive standard, threshold, or compliance checklist. </w:t>
    </w:r>
    <w:r w:rsidRPr="00C72778">
      <w:rPr>
        <w:rStyle w:val="Strong"/>
        <w:rFonts w:ascii="Arial" w:hAnsi="Arial" w:cs="Arial"/>
        <w:sz w:val="13"/>
        <w:szCs w:val="13"/>
      </w:rPr>
      <w:t>Each legal practice must develop its own risk factors based on its unique client base, designated services, geographic exposure and risks arising from known ML/TF typologies</w:t>
    </w:r>
    <w:r w:rsidRPr="00C72778">
      <w:rPr>
        <w:rFonts w:ascii="Arial" w:hAnsi="Arial" w:cs="Arial"/>
        <w:sz w:val="13"/>
        <w:szCs w:val="13"/>
      </w:rPr>
      <w:t xml:space="preserve"> relevant to its operations.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E16B" w14:textId="77777777" w:rsidR="00B904AD" w:rsidRPr="00453C15" w:rsidRDefault="00B904AD" w:rsidP="00485054">
      <w:pPr>
        <w:spacing w:after="0" w:line="240" w:lineRule="auto"/>
      </w:pPr>
      <w:r w:rsidRPr="00453C15">
        <w:separator/>
      </w:r>
    </w:p>
  </w:footnote>
  <w:footnote w:type="continuationSeparator" w:id="0">
    <w:p w14:paraId="3B98C705" w14:textId="77777777" w:rsidR="00B904AD" w:rsidRPr="00453C15" w:rsidRDefault="00B904AD" w:rsidP="00485054">
      <w:pPr>
        <w:spacing w:after="0" w:line="240" w:lineRule="auto"/>
      </w:pPr>
      <w:r w:rsidRPr="00453C15">
        <w:continuationSeparator/>
      </w:r>
    </w:p>
  </w:footnote>
  <w:footnote w:type="continuationNotice" w:id="1">
    <w:p w14:paraId="011964D0" w14:textId="77777777" w:rsidR="00B904AD" w:rsidRPr="00453C15" w:rsidRDefault="00B904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9F6"/>
    <w:multiLevelType w:val="hybridMultilevel"/>
    <w:tmpl w:val="8E70D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FA2EC9"/>
    <w:multiLevelType w:val="hybridMultilevel"/>
    <w:tmpl w:val="322E5EA8"/>
    <w:lvl w:ilvl="0" w:tplc="D2768E8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76E07"/>
    <w:multiLevelType w:val="hybridMultilevel"/>
    <w:tmpl w:val="B75C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01E72"/>
    <w:multiLevelType w:val="hybridMultilevel"/>
    <w:tmpl w:val="8E70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57A58"/>
    <w:multiLevelType w:val="hybridMultilevel"/>
    <w:tmpl w:val="8E70D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0E69A8"/>
    <w:multiLevelType w:val="hybridMultilevel"/>
    <w:tmpl w:val="96FA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96FFE"/>
    <w:multiLevelType w:val="hybridMultilevel"/>
    <w:tmpl w:val="50B2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672717">
    <w:abstractNumId w:val="1"/>
  </w:num>
  <w:num w:numId="2" w16cid:durableId="1088037475">
    <w:abstractNumId w:val="6"/>
  </w:num>
  <w:num w:numId="3" w16cid:durableId="63532057">
    <w:abstractNumId w:val="3"/>
  </w:num>
  <w:num w:numId="4" w16cid:durableId="768235011">
    <w:abstractNumId w:val="0"/>
  </w:num>
  <w:num w:numId="5" w16cid:durableId="1623608292">
    <w:abstractNumId w:val="4"/>
  </w:num>
  <w:num w:numId="6" w16cid:durableId="900140791">
    <w:abstractNumId w:val="5"/>
  </w:num>
  <w:num w:numId="7" w16cid:durableId="17137968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74"/>
    <w:rsid w:val="00000AE9"/>
    <w:rsid w:val="00000E97"/>
    <w:rsid w:val="00001D97"/>
    <w:rsid w:val="00003FEA"/>
    <w:rsid w:val="00005C23"/>
    <w:rsid w:val="00005CAB"/>
    <w:rsid w:val="0000700B"/>
    <w:rsid w:val="00007731"/>
    <w:rsid w:val="00010CEE"/>
    <w:rsid w:val="0001169A"/>
    <w:rsid w:val="000126BD"/>
    <w:rsid w:val="00013D05"/>
    <w:rsid w:val="00014EC6"/>
    <w:rsid w:val="00016823"/>
    <w:rsid w:val="00017409"/>
    <w:rsid w:val="00020028"/>
    <w:rsid w:val="00024279"/>
    <w:rsid w:val="000253C6"/>
    <w:rsid w:val="00025913"/>
    <w:rsid w:val="0002610C"/>
    <w:rsid w:val="000263D7"/>
    <w:rsid w:val="00026A54"/>
    <w:rsid w:val="0002727F"/>
    <w:rsid w:val="00027EC8"/>
    <w:rsid w:val="00027ECE"/>
    <w:rsid w:val="00030B46"/>
    <w:rsid w:val="00031CB3"/>
    <w:rsid w:val="000327F1"/>
    <w:rsid w:val="00033612"/>
    <w:rsid w:val="00033B53"/>
    <w:rsid w:val="000355A4"/>
    <w:rsid w:val="000369DD"/>
    <w:rsid w:val="00037FA8"/>
    <w:rsid w:val="00041FD1"/>
    <w:rsid w:val="000432CE"/>
    <w:rsid w:val="00044674"/>
    <w:rsid w:val="00044AFA"/>
    <w:rsid w:val="00044CE5"/>
    <w:rsid w:val="00044E54"/>
    <w:rsid w:val="00046677"/>
    <w:rsid w:val="00046AEA"/>
    <w:rsid w:val="00051251"/>
    <w:rsid w:val="00051432"/>
    <w:rsid w:val="0005186C"/>
    <w:rsid w:val="0005224E"/>
    <w:rsid w:val="00052F0E"/>
    <w:rsid w:val="0005408E"/>
    <w:rsid w:val="000566A5"/>
    <w:rsid w:val="00056FA0"/>
    <w:rsid w:val="00061AED"/>
    <w:rsid w:val="0006237C"/>
    <w:rsid w:val="00063767"/>
    <w:rsid w:val="000664E4"/>
    <w:rsid w:val="00066B7B"/>
    <w:rsid w:val="00067A42"/>
    <w:rsid w:val="00072F83"/>
    <w:rsid w:val="0007461F"/>
    <w:rsid w:val="00076FC7"/>
    <w:rsid w:val="00080B4C"/>
    <w:rsid w:val="0008110C"/>
    <w:rsid w:val="00081956"/>
    <w:rsid w:val="0008263B"/>
    <w:rsid w:val="00082C53"/>
    <w:rsid w:val="00087123"/>
    <w:rsid w:val="000877C9"/>
    <w:rsid w:val="00087AEB"/>
    <w:rsid w:val="00087D60"/>
    <w:rsid w:val="00091377"/>
    <w:rsid w:val="00091607"/>
    <w:rsid w:val="0009280E"/>
    <w:rsid w:val="00092A0E"/>
    <w:rsid w:val="00092F13"/>
    <w:rsid w:val="00097A06"/>
    <w:rsid w:val="000A36B6"/>
    <w:rsid w:val="000A39F9"/>
    <w:rsid w:val="000A41FF"/>
    <w:rsid w:val="000A4A4E"/>
    <w:rsid w:val="000A549E"/>
    <w:rsid w:val="000A59F9"/>
    <w:rsid w:val="000A5E77"/>
    <w:rsid w:val="000A7669"/>
    <w:rsid w:val="000B195D"/>
    <w:rsid w:val="000B1C23"/>
    <w:rsid w:val="000B22E8"/>
    <w:rsid w:val="000B29CA"/>
    <w:rsid w:val="000B3205"/>
    <w:rsid w:val="000B3355"/>
    <w:rsid w:val="000B39A3"/>
    <w:rsid w:val="000B3E56"/>
    <w:rsid w:val="000B4026"/>
    <w:rsid w:val="000B445A"/>
    <w:rsid w:val="000B76BD"/>
    <w:rsid w:val="000C1F80"/>
    <w:rsid w:val="000C3ECC"/>
    <w:rsid w:val="000D1028"/>
    <w:rsid w:val="000D537F"/>
    <w:rsid w:val="000D6158"/>
    <w:rsid w:val="000D7588"/>
    <w:rsid w:val="000E07FD"/>
    <w:rsid w:val="000E12E7"/>
    <w:rsid w:val="000E1A89"/>
    <w:rsid w:val="000E1DA4"/>
    <w:rsid w:val="000E3C3B"/>
    <w:rsid w:val="000E63EF"/>
    <w:rsid w:val="000E6D98"/>
    <w:rsid w:val="000F0E07"/>
    <w:rsid w:val="000F4064"/>
    <w:rsid w:val="000F7E7D"/>
    <w:rsid w:val="000F7E96"/>
    <w:rsid w:val="001006D0"/>
    <w:rsid w:val="00100B14"/>
    <w:rsid w:val="00100F7E"/>
    <w:rsid w:val="00100F8A"/>
    <w:rsid w:val="00101856"/>
    <w:rsid w:val="00101B87"/>
    <w:rsid w:val="00101F24"/>
    <w:rsid w:val="00102333"/>
    <w:rsid w:val="001025AE"/>
    <w:rsid w:val="00105CB3"/>
    <w:rsid w:val="001067F7"/>
    <w:rsid w:val="00106A34"/>
    <w:rsid w:val="0010703D"/>
    <w:rsid w:val="001073D4"/>
    <w:rsid w:val="00107861"/>
    <w:rsid w:val="00107C97"/>
    <w:rsid w:val="00111172"/>
    <w:rsid w:val="00112178"/>
    <w:rsid w:val="001206F0"/>
    <w:rsid w:val="00121A08"/>
    <w:rsid w:val="00122653"/>
    <w:rsid w:val="0012276A"/>
    <w:rsid w:val="0012297F"/>
    <w:rsid w:val="001239A9"/>
    <w:rsid w:val="001254BE"/>
    <w:rsid w:val="00127306"/>
    <w:rsid w:val="00127B67"/>
    <w:rsid w:val="00131A7E"/>
    <w:rsid w:val="00133E22"/>
    <w:rsid w:val="0013481C"/>
    <w:rsid w:val="001348F3"/>
    <w:rsid w:val="00135178"/>
    <w:rsid w:val="00135EB5"/>
    <w:rsid w:val="001374E7"/>
    <w:rsid w:val="00140AE9"/>
    <w:rsid w:val="00140ECF"/>
    <w:rsid w:val="0014101E"/>
    <w:rsid w:val="001438FC"/>
    <w:rsid w:val="001443C6"/>
    <w:rsid w:val="00145964"/>
    <w:rsid w:val="00146296"/>
    <w:rsid w:val="00146662"/>
    <w:rsid w:val="00147410"/>
    <w:rsid w:val="00147C03"/>
    <w:rsid w:val="00152E59"/>
    <w:rsid w:val="00153895"/>
    <w:rsid w:val="001542FB"/>
    <w:rsid w:val="00155ACE"/>
    <w:rsid w:val="001567CA"/>
    <w:rsid w:val="001568FA"/>
    <w:rsid w:val="00160CD1"/>
    <w:rsid w:val="00161E7E"/>
    <w:rsid w:val="00163355"/>
    <w:rsid w:val="00163A64"/>
    <w:rsid w:val="00165342"/>
    <w:rsid w:val="00172965"/>
    <w:rsid w:val="001729A8"/>
    <w:rsid w:val="0017659C"/>
    <w:rsid w:val="00177CDD"/>
    <w:rsid w:val="00177E10"/>
    <w:rsid w:val="00181AF2"/>
    <w:rsid w:val="001829F3"/>
    <w:rsid w:val="00182A49"/>
    <w:rsid w:val="001871B7"/>
    <w:rsid w:val="00194A6D"/>
    <w:rsid w:val="001950C7"/>
    <w:rsid w:val="00197DF6"/>
    <w:rsid w:val="001A0976"/>
    <w:rsid w:val="001A0F2C"/>
    <w:rsid w:val="001A33AF"/>
    <w:rsid w:val="001A4FF2"/>
    <w:rsid w:val="001A67EF"/>
    <w:rsid w:val="001A7FFA"/>
    <w:rsid w:val="001B0499"/>
    <w:rsid w:val="001B04D7"/>
    <w:rsid w:val="001B5866"/>
    <w:rsid w:val="001B5907"/>
    <w:rsid w:val="001B771C"/>
    <w:rsid w:val="001C088F"/>
    <w:rsid w:val="001C0B72"/>
    <w:rsid w:val="001C0ECC"/>
    <w:rsid w:val="001C0FAB"/>
    <w:rsid w:val="001C1671"/>
    <w:rsid w:val="001C37D1"/>
    <w:rsid w:val="001C3A4B"/>
    <w:rsid w:val="001C5645"/>
    <w:rsid w:val="001C6513"/>
    <w:rsid w:val="001D10E6"/>
    <w:rsid w:val="001D1ED1"/>
    <w:rsid w:val="001D2690"/>
    <w:rsid w:val="001D42E9"/>
    <w:rsid w:val="001D4307"/>
    <w:rsid w:val="001D4C67"/>
    <w:rsid w:val="001E03B2"/>
    <w:rsid w:val="001E080C"/>
    <w:rsid w:val="001E16B3"/>
    <w:rsid w:val="001E3BAF"/>
    <w:rsid w:val="001E492F"/>
    <w:rsid w:val="001E5260"/>
    <w:rsid w:val="001E531F"/>
    <w:rsid w:val="001E6C5C"/>
    <w:rsid w:val="001E6FBD"/>
    <w:rsid w:val="001F043C"/>
    <w:rsid w:val="001F044A"/>
    <w:rsid w:val="001F14C5"/>
    <w:rsid w:val="001F2342"/>
    <w:rsid w:val="001F2AE3"/>
    <w:rsid w:val="001F43D1"/>
    <w:rsid w:val="001F494C"/>
    <w:rsid w:val="001F547F"/>
    <w:rsid w:val="001F5B7B"/>
    <w:rsid w:val="00200E28"/>
    <w:rsid w:val="00202237"/>
    <w:rsid w:val="00202530"/>
    <w:rsid w:val="0020331F"/>
    <w:rsid w:val="00203701"/>
    <w:rsid w:val="00203EE8"/>
    <w:rsid w:val="0020483F"/>
    <w:rsid w:val="00204C0D"/>
    <w:rsid w:val="00204E23"/>
    <w:rsid w:val="00205777"/>
    <w:rsid w:val="00206382"/>
    <w:rsid w:val="00206496"/>
    <w:rsid w:val="00210407"/>
    <w:rsid w:val="00210B7B"/>
    <w:rsid w:val="00212B65"/>
    <w:rsid w:val="00214740"/>
    <w:rsid w:val="00215B68"/>
    <w:rsid w:val="00216FE0"/>
    <w:rsid w:val="0021753D"/>
    <w:rsid w:val="00217BB3"/>
    <w:rsid w:val="0022176F"/>
    <w:rsid w:val="002217D3"/>
    <w:rsid w:val="00222384"/>
    <w:rsid w:val="0022536B"/>
    <w:rsid w:val="002259F8"/>
    <w:rsid w:val="00227A40"/>
    <w:rsid w:val="0023062D"/>
    <w:rsid w:val="00230D6D"/>
    <w:rsid w:val="002310CF"/>
    <w:rsid w:val="00233E80"/>
    <w:rsid w:val="002349CC"/>
    <w:rsid w:val="002356C5"/>
    <w:rsid w:val="00237C4D"/>
    <w:rsid w:val="00243C66"/>
    <w:rsid w:val="002440AE"/>
    <w:rsid w:val="00245FD4"/>
    <w:rsid w:val="0025012F"/>
    <w:rsid w:val="00252587"/>
    <w:rsid w:val="002641F0"/>
    <w:rsid w:val="00264393"/>
    <w:rsid w:val="00265081"/>
    <w:rsid w:val="0026582A"/>
    <w:rsid w:val="00265BBF"/>
    <w:rsid w:val="00266693"/>
    <w:rsid w:val="002667CD"/>
    <w:rsid w:val="002723BE"/>
    <w:rsid w:val="00273A89"/>
    <w:rsid w:val="00273C11"/>
    <w:rsid w:val="00274073"/>
    <w:rsid w:val="002804D3"/>
    <w:rsid w:val="002809E9"/>
    <w:rsid w:val="00286943"/>
    <w:rsid w:val="002917A6"/>
    <w:rsid w:val="0029259E"/>
    <w:rsid w:val="00292D72"/>
    <w:rsid w:val="00292E62"/>
    <w:rsid w:val="00293201"/>
    <w:rsid w:val="00293211"/>
    <w:rsid w:val="002947C8"/>
    <w:rsid w:val="00295074"/>
    <w:rsid w:val="002969E2"/>
    <w:rsid w:val="002A1B67"/>
    <w:rsid w:val="002A2368"/>
    <w:rsid w:val="002A362E"/>
    <w:rsid w:val="002A5BA4"/>
    <w:rsid w:val="002A6F6C"/>
    <w:rsid w:val="002A756F"/>
    <w:rsid w:val="002B01A4"/>
    <w:rsid w:val="002B0F3F"/>
    <w:rsid w:val="002B3C11"/>
    <w:rsid w:val="002B3FEB"/>
    <w:rsid w:val="002B4D1B"/>
    <w:rsid w:val="002B6F7B"/>
    <w:rsid w:val="002B7A45"/>
    <w:rsid w:val="002C0904"/>
    <w:rsid w:val="002C0AE0"/>
    <w:rsid w:val="002C18DE"/>
    <w:rsid w:val="002C4FC8"/>
    <w:rsid w:val="002C56C6"/>
    <w:rsid w:val="002D0604"/>
    <w:rsid w:val="002D0E4D"/>
    <w:rsid w:val="002D1294"/>
    <w:rsid w:val="002D440A"/>
    <w:rsid w:val="002D4A68"/>
    <w:rsid w:val="002D52F0"/>
    <w:rsid w:val="002D53B1"/>
    <w:rsid w:val="002D5A22"/>
    <w:rsid w:val="002D72DA"/>
    <w:rsid w:val="002E098B"/>
    <w:rsid w:val="002E20EB"/>
    <w:rsid w:val="002E3029"/>
    <w:rsid w:val="002E31FD"/>
    <w:rsid w:val="002E32CC"/>
    <w:rsid w:val="002E3BFF"/>
    <w:rsid w:val="002E4B24"/>
    <w:rsid w:val="002E5853"/>
    <w:rsid w:val="002F0D60"/>
    <w:rsid w:val="002F14A2"/>
    <w:rsid w:val="002F21F8"/>
    <w:rsid w:val="002F4164"/>
    <w:rsid w:val="002F7BF3"/>
    <w:rsid w:val="0030056F"/>
    <w:rsid w:val="00300958"/>
    <w:rsid w:val="00301046"/>
    <w:rsid w:val="0030159B"/>
    <w:rsid w:val="00301638"/>
    <w:rsid w:val="00302EBB"/>
    <w:rsid w:val="0030412B"/>
    <w:rsid w:val="0030433F"/>
    <w:rsid w:val="00304D66"/>
    <w:rsid w:val="00305A32"/>
    <w:rsid w:val="00307D44"/>
    <w:rsid w:val="00310908"/>
    <w:rsid w:val="00311403"/>
    <w:rsid w:val="0031263B"/>
    <w:rsid w:val="0031342D"/>
    <w:rsid w:val="003148FC"/>
    <w:rsid w:val="0031651F"/>
    <w:rsid w:val="003208C7"/>
    <w:rsid w:val="00321906"/>
    <w:rsid w:val="00322A5E"/>
    <w:rsid w:val="00322ACF"/>
    <w:rsid w:val="00326B98"/>
    <w:rsid w:val="00326ED0"/>
    <w:rsid w:val="00330081"/>
    <w:rsid w:val="00332510"/>
    <w:rsid w:val="00332C74"/>
    <w:rsid w:val="00333EB2"/>
    <w:rsid w:val="00334012"/>
    <w:rsid w:val="00334F91"/>
    <w:rsid w:val="00337264"/>
    <w:rsid w:val="00341BA3"/>
    <w:rsid w:val="003430D1"/>
    <w:rsid w:val="003443C4"/>
    <w:rsid w:val="003445BF"/>
    <w:rsid w:val="003469F4"/>
    <w:rsid w:val="00347CE4"/>
    <w:rsid w:val="00350773"/>
    <w:rsid w:val="00350E15"/>
    <w:rsid w:val="003527EA"/>
    <w:rsid w:val="003537AC"/>
    <w:rsid w:val="0035480B"/>
    <w:rsid w:val="00355987"/>
    <w:rsid w:val="00361D06"/>
    <w:rsid w:val="003620E2"/>
    <w:rsid w:val="0036422E"/>
    <w:rsid w:val="00365357"/>
    <w:rsid w:val="003658CE"/>
    <w:rsid w:val="0036617D"/>
    <w:rsid w:val="003665EF"/>
    <w:rsid w:val="003667A8"/>
    <w:rsid w:val="00367DEA"/>
    <w:rsid w:val="0037254A"/>
    <w:rsid w:val="00373147"/>
    <w:rsid w:val="0037358C"/>
    <w:rsid w:val="0037398C"/>
    <w:rsid w:val="00374FF7"/>
    <w:rsid w:val="003751B7"/>
    <w:rsid w:val="003756BF"/>
    <w:rsid w:val="00377094"/>
    <w:rsid w:val="0037770C"/>
    <w:rsid w:val="00377F5F"/>
    <w:rsid w:val="00383238"/>
    <w:rsid w:val="00383CA5"/>
    <w:rsid w:val="00385BD3"/>
    <w:rsid w:val="00385CBB"/>
    <w:rsid w:val="00387BBD"/>
    <w:rsid w:val="003901CC"/>
    <w:rsid w:val="003911F5"/>
    <w:rsid w:val="0039395A"/>
    <w:rsid w:val="00394A20"/>
    <w:rsid w:val="00394D8A"/>
    <w:rsid w:val="003971DF"/>
    <w:rsid w:val="003A01C0"/>
    <w:rsid w:val="003A0235"/>
    <w:rsid w:val="003A0988"/>
    <w:rsid w:val="003A2E02"/>
    <w:rsid w:val="003A31BF"/>
    <w:rsid w:val="003A4A9E"/>
    <w:rsid w:val="003A5686"/>
    <w:rsid w:val="003A6128"/>
    <w:rsid w:val="003A6634"/>
    <w:rsid w:val="003A777D"/>
    <w:rsid w:val="003B129E"/>
    <w:rsid w:val="003B1C6E"/>
    <w:rsid w:val="003B35E0"/>
    <w:rsid w:val="003B52B4"/>
    <w:rsid w:val="003B52BC"/>
    <w:rsid w:val="003B582C"/>
    <w:rsid w:val="003B5CB9"/>
    <w:rsid w:val="003B73A4"/>
    <w:rsid w:val="003B7595"/>
    <w:rsid w:val="003C1209"/>
    <w:rsid w:val="003C3B1B"/>
    <w:rsid w:val="003C6A72"/>
    <w:rsid w:val="003D0D4E"/>
    <w:rsid w:val="003D263A"/>
    <w:rsid w:val="003D2FD5"/>
    <w:rsid w:val="003D30B1"/>
    <w:rsid w:val="003D5021"/>
    <w:rsid w:val="003D50C8"/>
    <w:rsid w:val="003D57ED"/>
    <w:rsid w:val="003D64F7"/>
    <w:rsid w:val="003E0929"/>
    <w:rsid w:val="003E12E2"/>
    <w:rsid w:val="003E1D26"/>
    <w:rsid w:val="003E2A7E"/>
    <w:rsid w:val="003E433D"/>
    <w:rsid w:val="003E4681"/>
    <w:rsid w:val="003E4C7A"/>
    <w:rsid w:val="003E4DF8"/>
    <w:rsid w:val="003E50FD"/>
    <w:rsid w:val="003E5220"/>
    <w:rsid w:val="003E574E"/>
    <w:rsid w:val="003E5EA1"/>
    <w:rsid w:val="003E7214"/>
    <w:rsid w:val="003F0A2A"/>
    <w:rsid w:val="003F3455"/>
    <w:rsid w:val="003F3FE9"/>
    <w:rsid w:val="003F645C"/>
    <w:rsid w:val="00400794"/>
    <w:rsid w:val="00402084"/>
    <w:rsid w:val="0040263C"/>
    <w:rsid w:val="00402857"/>
    <w:rsid w:val="00405F3C"/>
    <w:rsid w:val="0040646D"/>
    <w:rsid w:val="004077B5"/>
    <w:rsid w:val="00407F6B"/>
    <w:rsid w:val="00410567"/>
    <w:rsid w:val="004126A0"/>
    <w:rsid w:val="004130D1"/>
    <w:rsid w:val="00413DDB"/>
    <w:rsid w:val="004144A0"/>
    <w:rsid w:val="00417435"/>
    <w:rsid w:val="00420ADE"/>
    <w:rsid w:val="004210FE"/>
    <w:rsid w:val="004213AF"/>
    <w:rsid w:val="00422766"/>
    <w:rsid w:val="00423AFC"/>
    <w:rsid w:val="00425B5B"/>
    <w:rsid w:val="00425D26"/>
    <w:rsid w:val="00425D2A"/>
    <w:rsid w:val="00426C3A"/>
    <w:rsid w:val="0043011B"/>
    <w:rsid w:val="00431185"/>
    <w:rsid w:val="004328A6"/>
    <w:rsid w:val="00433155"/>
    <w:rsid w:val="00433236"/>
    <w:rsid w:val="00435188"/>
    <w:rsid w:val="004412D3"/>
    <w:rsid w:val="00441979"/>
    <w:rsid w:val="004424FA"/>
    <w:rsid w:val="004465DC"/>
    <w:rsid w:val="00446A3B"/>
    <w:rsid w:val="004472AE"/>
    <w:rsid w:val="0044768F"/>
    <w:rsid w:val="00450934"/>
    <w:rsid w:val="0045163E"/>
    <w:rsid w:val="00453C15"/>
    <w:rsid w:val="00453FCD"/>
    <w:rsid w:val="00455070"/>
    <w:rsid w:val="0045741F"/>
    <w:rsid w:val="00457BE2"/>
    <w:rsid w:val="00461007"/>
    <w:rsid w:val="004629D1"/>
    <w:rsid w:val="004630A3"/>
    <w:rsid w:val="00464A78"/>
    <w:rsid w:val="004667B6"/>
    <w:rsid w:val="004667D5"/>
    <w:rsid w:val="004704FE"/>
    <w:rsid w:val="00472FA5"/>
    <w:rsid w:val="00474B8E"/>
    <w:rsid w:val="004750DB"/>
    <w:rsid w:val="00475BD6"/>
    <w:rsid w:val="004773C7"/>
    <w:rsid w:val="004774C8"/>
    <w:rsid w:val="00482216"/>
    <w:rsid w:val="00482375"/>
    <w:rsid w:val="0048247A"/>
    <w:rsid w:val="00482726"/>
    <w:rsid w:val="00483F78"/>
    <w:rsid w:val="00484361"/>
    <w:rsid w:val="00485054"/>
    <w:rsid w:val="004873F1"/>
    <w:rsid w:val="004912B6"/>
    <w:rsid w:val="0049135B"/>
    <w:rsid w:val="00492B9C"/>
    <w:rsid w:val="00492F38"/>
    <w:rsid w:val="00494DDD"/>
    <w:rsid w:val="00494FAC"/>
    <w:rsid w:val="004954C5"/>
    <w:rsid w:val="004976F2"/>
    <w:rsid w:val="004A11BE"/>
    <w:rsid w:val="004A25B9"/>
    <w:rsid w:val="004A35C0"/>
    <w:rsid w:val="004A3953"/>
    <w:rsid w:val="004B00E1"/>
    <w:rsid w:val="004B09DA"/>
    <w:rsid w:val="004B124B"/>
    <w:rsid w:val="004B3144"/>
    <w:rsid w:val="004B3A57"/>
    <w:rsid w:val="004B45BD"/>
    <w:rsid w:val="004B477B"/>
    <w:rsid w:val="004B7E08"/>
    <w:rsid w:val="004C086C"/>
    <w:rsid w:val="004C0B6F"/>
    <w:rsid w:val="004C15D0"/>
    <w:rsid w:val="004C2C35"/>
    <w:rsid w:val="004C4D6F"/>
    <w:rsid w:val="004C6101"/>
    <w:rsid w:val="004C6737"/>
    <w:rsid w:val="004C6934"/>
    <w:rsid w:val="004C6C3C"/>
    <w:rsid w:val="004C6DD4"/>
    <w:rsid w:val="004C7B90"/>
    <w:rsid w:val="004D1038"/>
    <w:rsid w:val="004D11B8"/>
    <w:rsid w:val="004D1DF0"/>
    <w:rsid w:val="004D3BEA"/>
    <w:rsid w:val="004D4293"/>
    <w:rsid w:val="004D50C5"/>
    <w:rsid w:val="004D5AA4"/>
    <w:rsid w:val="004D7746"/>
    <w:rsid w:val="004D7D7E"/>
    <w:rsid w:val="004E3587"/>
    <w:rsid w:val="004E4206"/>
    <w:rsid w:val="004E5DE7"/>
    <w:rsid w:val="004E69E4"/>
    <w:rsid w:val="004E6A60"/>
    <w:rsid w:val="004E7C98"/>
    <w:rsid w:val="004F0F6C"/>
    <w:rsid w:val="004F3143"/>
    <w:rsid w:val="004F3F98"/>
    <w:rsid w:val="004F5135"/>
    <w:rsid w:val="004F6B9E"/>
    <w:rsid w:val="004F7D11"/>
    <w:rsid w:val="005005E6"/>
    <w:rsid w:val="00501502"/>
    <w:rsid w:val="00502270"/>
    <w:rsid w:val="0050289B"/>
    <w:rsid w:val="005041E0"/>
    <w:rsid w:val="00505E39"/>
    <w:rsid w:val="00506D78"/>
    <w:rsid w:val="005124AC"/>
    <w:rsid w:val="0051403E"/>
    <w:rsid w:val="005143BE"/>
    <w:rsid w:val="00514DB5"/>
    <w:rsid w:val="00514E67"/>
    <w:rsid w:val="00517570"/>
    <w:rsid w:val="005214EA"/>
    <w:rsid w:val="00524133"/>
    <w:rsid w:val="00525F9B"/>
    <w:rsid w:val="00527099"/>
    <w:rsid w:val="0052712D"/>
    <w:rsid w:val="005312BE"/>
    <w:rsid w:val="00531FF1"/>
    <w:rsid w:val="00532BBC"/>
    <w:rsid w:val="00534F97"/>
    <w:rsid w:val="005353CA"/>
    <w:rsid w:val="00535891"/>
    <w:rsid w:val="0053736C"/>
    <w:rsid w:val="00540219"/>
    <w:rsid w:val="0054075E"/>
    <w:rsid w:val="005408DA"/>
    <w:rsid w:val="005447E7"/>
    <w:rsid w:val="005449A2"/>
    <w:rsid w:val="005450D6"/>
    <w:rsid w:val="00546653"/>
    <w:rsid w:val="00547E92"/>
    <w:rsid w:val="005503C0"/>
    <w:rsid w:val="005538FF"/>
    <w:rsid w:val="00553BC2"/>
    <w:rsid w:val="005550BF"/>
    <w:rsid w:val="00556354"/>
    <w:rsid w:val="005563D0"/>
    <w:rsid w:val="00557FD9"/>
    <w:rsid w:val="005606EE"/>
    <w:rsid w:val="005617DF"/>
    <w:rsid w:val="00561DB2"/>
    <w:rsid w:val="005627EF"/>
    <w:rsid w:val="005631E2"/>
    <w:rsid w:val="00563569"/>
    <w:rsid w:val="0056787F"/>
    <w:rsid w:val="00567A97"/>
    <w:rsid w:val="005704F6"/>
    <w:rsid w:val="00572052"/>
    <w:rsid w:val="0057332E"/>
    <w:rsid w:val="0057384A"/>
    <w:rsid w:val="005762F3"/>
    <w:rsid w:val="005816EE"/>
    <w:rsid w:val="00582153"/>
    <w:rsid w:val="005832EC"/>
    <w:rsid w:val="00583883"/>
    <w:rsid w:val="00583E52"/>
    <w:rsid w:val="005854C0"/>
    <w:rsid w:val="005904AD"/>
    <w:rsid w:val="00592052"/>
    <w:rsid w:val="00593475"/>
    <w:rsid w:val="00594602"/>
    <w:rsid w:val="00595454"/>
    <w:rsid w:val="00596CB3"/>
    <w:rsid w:val="00597494"/>
    <w:rsid w:val="00597FD1"/>
    <w:rsid w:val="005A05FB"/>
    <w:rsid w:val="005A4203"/>
    <w:rsid w:val="005A49A5"/>
    <w:rsid w:val="005A4E95"/>
    <w:rsid w:val="005B01B5"/>
    <w:rsid w:val="005B0423"/>
    <w:rsid w:val="005B1CA4"/>
    <w:rsid w:val="005B1E0D"/>
    <w:rsid w:val="005B3E2F"/>
    <w:rsid w:val="005B400A"/>
    <w:rsid w:val="005B4818"/>
    <w:rsid w:val="005C27B9"/>
    <w:rsid w:val="005C2C36"/>
    <w:rsid w:val="005C5CC7"/>
    <w:rsid w:val="005C6FD7"/>
    <w:rsid w:val="005D0240"/>
    <w:rsid w:val="005D16B2"/>
    <w:rsid w:val="005D2060"/>
    <w:rsid w:val="005D29EA"/>
    <w:rsid w:val="005D2AC0"/>
    <w:rsid w:val="005E0FE3"/>
    <w:rsid w:val="005E2493"/>
    <w:rsid w:val="005E27BA"/>
    <w:rsid w:val="005E27E0"/>
    <w:rsid w:val="005E293E"/>
    <w:rsid w:val="005E6A7C"/>
    <w:rsid w:val="005F0474"/>
    <w:rsid w:val="005F0495"/>
    <w:rsid w:val="005F1DF4"/>
    <w:rsid w:val="005F1E6C"/>
    <w:rsid w:val="005F232B"/>
    <w:rsid w:val="005F66B9"/>
    <w:rsid w:val="005F6A28"/>
    <w:rsid w:val="005F70DE"/>
    <w:rsid w:val="005F71BF"/>
    <w:rsid w:val="00600BED"/>
    <w:rsid w:val="006018A7"/>
    <w:rsid w:val="00601E08"/>
    <w:rsid w:val="006032FE"/>
    <w:rsid w:val="00603340"/>
    <w:rsid w:val="006038D3"/>
    <w:rsid w:val="00603BAA"/>
    <w:rsid w:val="00604983"/>
    <w:rsid w:val="006063C9"/>
    <w:rsid w:val="0060685E"/>
    <w:rsid w:val="006071E4"/>
    <w:rsid w:val="0060739F"/>
    <w:rsid w:val="00607A7D"/>
    <w:rsid w:val="0061054D"/>
    <w:rsid w:val="006121E5"/>
    <w:rsid w:val="00612E96"/>
    <w:rsid w:val="0061415F"/>
    <w:rsid w:val="006147E7"/>
    <w:rsid w:val="00614D3F"/>
    <w:rsid w:val="00615AB0"/>
    <w:rsid w:val="0061796E"/>
    <w:rsid w:val="006204EF"/>
    <w:rsid w:val="006211C4"/>
    <w:rsid w:val="00623EB8"/>
    <w:rsid w:val="006248F5"/>
    <w:rsid w:val="006249F9"/>
    <w:rsid w:val="00624F65"/>
    <w:rsid w:val="006251D8"/>
    <w:rsid w:val="006258E3"/>
    <w:rsid w:val="0063100E"/>
    <w:rsid w:val="00631D2B"/>
    <w:rsid w:val="0063597C"/>
    <w:rsid w:val="0063599E"/>
    <w:rsid w:val="006405D5"/>
    <w:rsid w:val="0064415E"/>
    <w:rsid w:val="00644402"/>
    <w:rsid w:val="00645EC9"/>
    <w:rsid w:val="006461EB"/>
    <w:rsid w:val="00646344"/>
    <w:rsid w:val="006513CB"/>
    <w:rsid w:val="0065417B"/>
    <w:rsid w:val="006559E2"/>
    <w:rsid w:val="00656966"/>
    <w:rsid w:val="00657137"/>
    <w:rsid w:val="00657A7E"/>
    <w:rsid w:val="00657ED3"/>
    <w:rsid w:val="006605B0"/>
    <w:rsid w:val="00660C30"/>
    <w:rsid w:val="0066143A"/>
    <w:rsid w:val="0066471D"/>
    <w:rsid w:val="00665820"/>
    <w:rsid w:val="00666776"/>
    <w:rsid w:val="00666FCF"/>
    <w:rsid w:val="00673CD1"/>
    <w:rsid w:val="00674531"/>
    <w:rsid w:val="00676140"/>
    <w:rsid w:val="0067771E"/>
    <w:rsid w:val="00677866"/>
    <w:rsid w:val="00677CB8"/>
    <w:rsid w:val="0068075D"/>
    <w:rsid w:val="00682261"/>
    <w:rsid w:val="00683D61"/>
    <w:rsid w:val="00686170"/>
    <w:rsid w:val="006878F9"/>
    <w:rsid w:val="00696F52"/>
    <w:rsid w:val="00697863"/>
    <w:rsid w:val="0069794B"/>
    <w:rsid w:val="006A058E"/>
    <w:rsid w:val="006A1E64"/>
    <w:rsid w:val="006A34BC"/>
    <w:rsid w:val="006A45D7"/>
    <w:rsid w:val="006A4C09"/>
    <w:rsid w:val="006A770E"/>
    <w:rsid w:val="006B096E"/>
    <w:rsid w:val="006B1620"/>
    <w:rsid w:val="006B1E07"/>
    <w:rsid w:val="006B216D"/>
    <w:rsid w:val="006B2235"/>
    <w:rsid w:val="006B2CC5"/>
    <w:rsid w:val="006B46C5"/>
    <w:rsid w:val="006B581A"/>
    <w:rsid w:val="006B768A"/>
    <w:rsid w:val="006C1510"/>
    <w:rsid w:val="006C2F74"/>
    <w:rsid w:val="006C5E6E"/>
    <w:rsid w:val="006C78F4"/>
    <w:rsid w:val="006D0B5C"/>
    <w:rsid w:val="006D0B89"/>
    <w:rsid w:val="006D2FD5"/>
    <w:rsid w:val="006D58A4"/>
    <w:rsid w:val="006E0F7E"/>
    <w:rsid w:val="006E2A03"/>
    <w:rsid w:val="006E2EC5"/>
    <w:rsid w:val="006E302C"/>
    <w:rsid w:val="006E61D0"/>
    <w:rsid w:val="006E6F30"/>
    <w:rsid w:val="006E7139"/>
    <w:rsid w:val="006F06A2"/>
    <w:rsid w:val="006F1689"/>
    <w:rsid w:val="006F4358"/>
    <w:rsid w:val="006F46B7"/>
    <w:rsid w:val="006F5DAA"/>
    <w:rsid w:val="006F73A9"/>
    <w:rsid w:val="007006A1"/>
    <w:rsid w:val="007006DC"/>
    <w:rsid w:val="007006FA"/>
    <w:rsid w:val="00700E1F"/>
    <w:rsid w:val="00700E53"/>
    <w:rsid w:val="00701FE5"/>
    <w:rsid w:val="0070235C"/>
    <w:rsid w:val="0070241B"/>
    <w:rsid w:val="007032C2"/>
    <w:rsid w:val="00704322"/>
    <w:rsid w:val="00704BC5"/>
    <w:rsid w:val="0070555C"/>
    <w:rsid w:val="00705A01"/>
    <w:rsid w:val="00710812"/>
    <w:rsid w:val="0071185B"/>
    <w:rsid w:val="007214AE"/>
    <w:rsid w:val="007260D6"/>
    <w:rsid w:val="007263D7"/>
    <w:rsid w:val="00726C66"/>
    <w:rsid w:val="00726CB4"/>
    <w:rsid w:val="007312F0"/>
    <w:rsid w:val="00731A23"/>
    <w:rsid w:val="00732A0C"/>
    <w:rsid w:val="0073660D"/>
    <w:rsid w:val="00740112"/>
    <w:rsid w:val="00740941"/>
    <w:rsid w:val="00742382"/>
    <w:rsid w:val="007513DB"/>
    <w:rsid w:val="007519F5"/>
    <w:rsid w:val="00751AE6"/>
    <w:rsid w:val="007531A3"/>
    <w:rsid w:val="00753843"/>
    <w:rsid w:val="007539EA"/>
    <w:rsid w:val="007559CD"/>
    <w:rsid w:val="0075622C"/>
    <w:rsid w:val="00762014"/>
    <w:rsid w:val="007631BE"/>
    <w:rsid w:val="00765FBC"/>
    <w:rsid w:val="0076694E"/>
    <w:rsid w:val="00766F4A"/>
    <w:rsid w:val="00766F4B"/>
    <w:rsid w:val="0076742B"/>
    <w:rsid w:val="007678FA"/>
    <w:rsid w:val="00771945"/>
    <w:rsid w:val="00771C74"/>
    <w:rsid w:val="00772587"/>
    <w:rsid w:val="00772B70"/>
    <w:rsid w:val="00772E18"/>
    <w:rsid w:val="00772E72"/>
    <w:rsid w:val="007732C8"/>
    <w:rsid w:val="00773BCE"/>
    <w:rsid w:val="00773C7B"/>
    <w:rsid w:val="007747DD"/>
    <w:rsid w:val="00775ED6"/>
    <w:rsid w:val="007800D7"/>
    <w:rsid w:val="00780147"/>
    <w:rsid w:val="00780898"/>
    <w:rsid w:val="00780F0B"/>
    <w:rsid w:val="0078346E"/>
    <w:rsid w:val="00785ABF"/>
    <w:rsid w:val="00785DAA"/>
    <w:rsid w:val="00786FFC"/>
    <w:rsid w:val="007873D1"/>
    <w:rsid w:val="00787548"/>
    <w:rsid w:val="00787E3A"/>
    <w:rsid w:val="00790383"/>
    <w:rsid w:val="007940B7"/>
    <w:rsid w:val="00794F20"/>
    <w:rsid w:val="007953D9"/>
    <w:rsid w:val="007971CE"/>
    <w:rsid w:val="0079794E"/>
    <w:rsid w:val="007A1363"/>
    <w:rsid w:val="007A1761"/>
    <w:rsid w:val="007A1D67"/>
    <w:rsid w:val="007A2CE8"/>
    <w:rsid w:val="007A31C0"/>
    <w:rsid w:val="007A3B54"/>
    <w:rsid w:val="007B08CE"/>
    <w:rsid w:val="007B567D"/>
    <w:rsid w:val="007B6F9A"/>
    <w:rsid w:val="007B7D8A"/>
    <w:rsid w:val="007C18A4"/>
    <w:rsid w:val="007C1B27"/>
    <w:rsid w:val="007C2CFA"/>
    <w:rsid w:val="007C4732"/>
    <w:rsid w:val="007C60EF"/>
    <w:rsid w:val="007C660F"/>
    <w:rsid w:val="007C6B6E"/>
    <w:rsid w:val="007C7609"/>
    <w:rsid w:val="007D73AE"/>
    <w:rsid w:val="007D7B68"/>
    <w:rsid w:val="007E10E9"/>
    <w:rsid w:val="007E4643"/>
    <w:rsid w:val="007E5028"/>
    <w:rsid w:val="007E6963"/>
    <w:rsid w:val="007E736F"/>
    <w:rsid w:val="007F0800"/>
    <w:rsid w:val="007F1E40"/>
    <w:rsid w:val="007F3CB0"/>
    <w:rsid w:val="007F52C2"/>
    <w:rsid w:val="0080010A"/>
    <w:rsid w:val="008001E6"/>
    <w:rsid w:val="00801799"/>
    <w:rsid w:val="00801AF4"/>
    <w:rsid w:val="00801B30"/>
    <w:rsid w:val="00801C4F"/>
    <w:rsid w:val="00801E92"/>
    <w:rsid w:val="00802E9A"/>
    <w:rsid w:val="00804F8B"/>
    <w:rsid w:val="00807404"/>
    <w:rsid w:val="00807D5B"/>
    <w:rsid w:val="00813079"/>
    <w:rsid w:val="0081471A"/>
    <w:rsid w:val="00815DEE"/>
    <w:rsid w:val="008206E6"/>
    <w:rsid w:val="00822A10"/>
    <w:rsid w:val="00822D43"/>
    <w:rsid w:val="008234A6"/>
    <w:rsid w:val="00824231"/>
    <w:rsid w:val="00825165"/>
    <w:rsid w:val="008273DF"/>
    <w:rsid w:val="008306E3"/>
    <w:rsid w:val="008308AF"/>
    <w:rsid w:val="00831332"/>
    <w:rsid w:val="00831A24"/>
    <w:rsid w:val="00834701"/>
    <w:rsid w:val="00835D8E"/>
    <w:rsid w:val="00836544"/>
    <w:rsid w:val="00837B6B"/>
    <w:rsid w:val="0084006F"/>
    <w:rsid w:val="008410B9"/>
    <w:rsid w:val="00842184"/>
    <w:rsid w:val="00842F74"/>
    <w:rsid w:val="0084513A"/>
    <w:rsid w:val="00846E13"/>
    <w:rsid w:val="00846F90"/>
    <w:rsid w:val="0084747D"/>
    <w:rsid w:val="00847D77"/>
    <w:rsid w:val="00850B9F"/>
    <w:rsid w:val="00851230"/>
    <w:rsid w:val="00851C16"/>
    <w:rsid w:val="008522A7"/>
    <w:rsid w:val="00852958"/>
    <w:rsid w:val="00853867"/>
    <w:rsid w:val="00854693"/>
    <w:rsid w:val="00854DC0"/>
    <w:rsid w:val="008572D8"/>
    <w:rsid w:val="008573FE"/>
    <w:rsid w:val="00857CCB"/>
    <w:rsid w:val="008623CE"/>
    <w:rsid w:val="00862C1E"/>
    <w:rsid w:val="00862DFC"/>
    <w:rsid w:val="00863C53"/>
    <w:rsid w:val="0086417D"/>
    <w:rsid w:val="0086518B"/>
    <w:rsid w:val="00865382"/>
    <w:rsid w:val="0087088B"/>
    <w:rsid w:val="00870AFF"/>
    <w:rsid w:val="008714FA"/>
    <w:rsid w:val="00872065"/>
    <w:rsid w:val="0087210E"/>
    <w:rsid w:val="0087415F"/>
    <w:rsid w:val="00875757"/>
    <w:rsid w:val="00881201"/>
    <w:rsid w:val="00881F0E"/>
    <w:rsid w:val="00884C00"/>
    <w:rsid w:val="00885CF6"/>
    <w:rsid w:val="0088741C"/>
    <w:rsid w:val="00890C2F"/>
    <w:rsid w:val="00890F14"/>
    <w:rsid w:val="00891117"/>
    <w:rsid w:val="008950BD"/>
    <w:rsid w:val="008957DF"/>
    <w:rsid w:val="008965ED"/>
    <w:rsid w:val="008A1023"/>
    <w:rsid w:val="008A2C92"/>
    <w:rsid w:val="008A4BE4"/>
    <w:rsid w:val="008A718D"/>
    <w:rsid w:val="008A78E3"/>
    <w:rsid w:val="008A7D4D"/>
    <w:rsid w:val="008B0170"/>
    <w:rsid w:val="008B0A2E"/>
    <w:rsid w:val="008B1564"/>
    <w:rsid w:val="008B3EB1"/>
    <w:rsid w:val="008B4861"/>
    <w:rsid w:val="008B5D2D"/>
    <w:rsid w:val="008B63B6"/>
    <w:rsid w:val="008B641B"/>
    <w:rsid w:val="008B68DD"/>
    <w:rsid w:val="008C3040"/>
    <w:rsid w:val="008C5452"/>
    <w:rsid w:val="008C6C0D"/>
    <w:rsid w:val="008D09DD"/>
    <w:rsid w:val="008D1B60"/>
    <w:rsid w:val="008D33BB"/>
    <w:rsid w:val="008D4DA5"/>
    <w:rsid w:val="008D6159"/>
    <w:rsid w:val="008D68C4"/>
    <w:rsid w:val="008D72E9"/>
    <w:rsid w:val="008D7B0E"/>
    <w:rsid w:val="008E0509"/>
    <w:rsid w:val="008E1293"/>
    <w:rsid w:val="008E1A9C"/>
    <w:rsid w:val="008E5011"/>
    <w:rsid w:val="008E5256"/>
    <w:rsid w:val="008E6FA1"/>
    <w:rsid w:val="008E7634"/>
    <w:rsid w:val="008E77A6"/>
    <w:rsid w:val="008E786D"/>
    <w:rsid w:val="008E7A3A"/>
    <w:rsid w:val="008F1457"/>
    <w:rsid w:val="008F3449"/>
    <w:rsid w:val="008F4097"/>
    <w:rsid w:val="008F5447"/>
    <w:rsid w:val="008F5A2B"/>
    <w:rsid w:val="008F6446"/>
    <w:rsid w:val="00900866"/>
    <w:rsid w:val="00900C98"/>
    <w:rsid w:val="0090164D"/>
    <w:rsid w:val="009021AC"/>
    <w:rsid w:val="009021B9"/>
    <w:rsid w:val="00902F49"/>
    <w:rsid w:val="00905E8F"/>
    <w:rsid w:val="009067F9"/>
    <w:rsid w:val="00906865"/>
    <w:rsid w:val="00907BA1"/>
    <w:rsid w:val="00907D44"/>
    <w:rsid w:val="00913860"/>
    <w:rsid w:val="00914705"/>
    <w:rsid w:val="00914CDD"/>
    <w:rsid w:val="00917B21"/>
    <w:rsid w:val="00917E67"/>
    <w:rsid w:val="00921180"/>
    <w:rsid w:val="009240DE"/>
    <w:rsid w:val="00924216"/>
    <w:rsid w:val="009242F7"/>
    <w:rsid w:val="00930453"/>
    <w:rsid w:val="00930A40"/>
    <w:rsid w:val="009319F4"/>
    <w:rsid w:val="00932814"/>
    <w:rsid w:val="00932FFD"/>
    <w:rsid w:val="00933291"/>
    <w:rsid w:val="00933AA6"/>
    <w:rsid w:val="009347D8"/>
    <w:rsid w:val="0093526D"/>
    <w:rsid w:val="00935642"/>
    <w:rsid w:val="009356EA"/>
    <w:rsid w:val="00935921"/>
    <w:rsid w:val="00943A47"/>
    <w:rsid w:val="00944733"/>
    <w:rsid w:val="0094724B"/>
    <w:rsid w:val="00947277"/>
    <w:rsid w:val="009479B2"/>
    <w:rsid w:val="00950ACD"/>
    <w:rsid w:val="00951D93"/>
    <w:rsid w:val="009520D2"/>
    <w:rsid w:val="0095453D"/>
    <w:rsid w:val="00957EDC"/>
    <w:rsid w:val="00960CE6"/>
    <w:rsid w:val="00962183"/>
    <w:rsid w:val="00963AE9"/>
    <w:rsid w:val="00963E49"/>
    <w:rsid w:val="009649E9"/>
    <w:rsid w:val="00967E5A"/>
    <w:rsid w:val="00970AF1"/>
    <w:rsid w:val="00972017"/>
    <w:rsid w:val="00972731"/>
    <w:rsid w:val="009733EC"/>
    <w:rsid w:val="00973696"/>
    <w:rsid w:val="009749D6"/>
    <w:rsid w:val="00975211"/>
    <w:rsid w:val="00981376"/>
    <w:rsid w:val="00981622"/>
    <w:rsid w:val="009837AE"/>
    <w:rsid w:val="00984341"/>
    <w:rsid w:val="00985434"/>
    <w:rsid w:val="00985F56"/>
    <w:rsid w:val="00987C7A"/>
    <w:rsid w:val="00987DCE"/>
    <w:rsid w:val="009906DE"/>
    <w:rsid w:val="00990CBB"/>
    <w:rsid w:val="00992159"/>
    <w:rsid w:val="009923DC"/>
    <w:rsid w:val="009930A5"/>
    <w:rsid w:val="0099321E"/>
    <w:rsid w:val="009938D3"/>
    <w:rsid w:val="009954A2"/>
    <w:rsid w:val="009956AD"/>
    <w:rsid w:val="00995E7A"/>
    <w:rsid w:val="00996C2C"/>
    <w:rsid w:val="00996E36"/>
    <w:rsid w:val="00997238"/>
    <w:rsid w:val="009A0CBC"/>
    <w:rsid w:val="009A132E"/>
    <w:rsid w:val="009A227B"/>
    <w:rsid w:val="009A36C1"/>
    <w:rsid w:val="009A38FD"/>
    <w:rsid w:val="009A4FBF"/>
    <w:rsid w:val="009A5ABE"/>
    <w:rsid w:val="009A662D"/>
    <w:rsid w:val="009A7087"/>
    <w:rsid w:val="009A7797"/>
    <w:rsid w:val="009B0DF2"/>
    <w:rsid w:val="009B2C1C"/>
    <w:rsid w:val="009B3F9B"/>
    <w:rsid w:val="009B5244"/>
    <w:rsid w:val="009B5607"/>
    <w:rsid w:val="009B5751"/>
    <w:rsid w:val="009B5893"/>
    <w:rsid w:val="009B6639"/>
    <w:rsid w:val="009B7AD6"/>
    <w:rsid w:val="009C08CE"/>
    <w:rsid w:val="009C52B4"/>
    <w:rsid w:val="009C5D44"/>
    <w:rsid w:val="009D0E79"/>
    <w:rsid w:val="009D1B81"/>
    <w:rsid w:val="009D2060"/>
    <w:rsid w:val="009D2283"/>
    <w:rsid w:val="009D7646"/>
    <w:rsid w:val="009D7DD5"/>
    <w:rsid w:val="009E3482"/>
    <w:rsid w:val="009E3BD6"/>
    <w:rsid w:val="009E422A"/>
    <w:rsid w:val="009E5255"/>
    <w:rsid w:val="009E6ACC"/>
    <w:rsid w:val="009F06A1"/>
    <w:rsid w:val="009F0AF5"/>
    <w:rsid w:val="009F0B10"/>
    <w:rsid w:val="009F0BEE"/>
    <w:rsid w:val="009F193B"/>
    <w:rsid w:val="009F1A4C"/>
    <w:rsid w:val="009F1EF2"/>
    <w:rsid w:val="009F297F"/>
    <w:rsid w:val="009F42BF"/>
    <w:rsid w:val="009F4E2D"/>
    <w:rsid w:val="009F5D97"/>
    <w:rsid w:val="009F69E6"/>
    <w:rsid w:val="009F6B4D"/>
    <w:rsid w:val="009F70EE"/>
    <w:rsid w:val="00A004BB"/>
    <w:rsid w:val="00A01AE5"/>
    <w:rsid w:val="00A01C49"/>
    <w:rsid w:val="00A02CA6"/>
    <w:rsid w:val="00A11208"/>
    <w:rsid w:val="00A11FEF"/>
    <w:rsid w:val="00A15569"/>
    <w:rsid w:val="00A157BE"/>
    <w:rsid w:val="00A17085"/>
    <w:rsid w:val="00A2033C"/>
    <w:rsid w:val="00A24FF7"/>
    <w:rsid w:val="00A25582"/>
    <w:rsid w:val="00A25B36"/>
    <w:rsid w:val="00A27492"/>
    <w:rsid w:val="00A3045E"/>
    <w:rsid w:val="00A30EB7"/>
    <w:rsid w:val="00A30F52"/>
    <w:rsid w:val="00A3150F"/>
    <w:rsid w:val="00A3154C"/>
    <w:rsid w:val="00A356E3"/>
    <w:rsid w:val="00A35C37"/>
    <w:rsid w:val="00A35E7C"/>
    <w:rsid w:val="00A35F57"/>
    <w:rsid w:val="00A37D8F"/>
    <w:rsid w:val="00A40E77"/>
    <w:rsid w:val="00A42B2C"/>
    <w:rsid w:val="00A43044"/>
    <w:rsid w:val="00A4678D"/>
    <w:rsid w:val="00A47AD9"/>
    <w:rsid w:val="00A50861"/>
    <w:rsid w:val="00A512FE"/>
    <w:rsid w:val="00A519EA"/>
    <w:rsid w:val="00A51E2D"/>
    <w:rsid w:val="00A545DE"/>
    <w:rsid w:val="00A54734"/>
    <w:rsid w:val="00A57F04"/>
    <w:rsid w:val="00A60997"/>
    <w:rsid w:val="00A60D62"/>
    <w:rsid w:val="00A62425"/>
    <w:rsid w:val="00A62C74"/>
    <w:rsid w:val="00A63FB9"/>
    <w:rsid w:val="00A64A71"/>
    <w:rsid w:val="00A64B40"/>
    <w:rsid w:val="00A64F13"/>
    <w:rsid w:val="00A6569D"/>
    <w:rsid w:val="00A66203"/>
    <w:rsid w:val="00A66744"/>
    <w:rsid w:val="00A670DA"/>
    <w:rsid w:val="00A728EC"/>
    <w:rsid w:val="00A72B89"/>
    <w:rsid w:val="00A74455"/>
    <w:rsid w:val="00A7486B"/>
    <w:rsid w:val="00A76A23"/>
    <w:rsid w:val="00A80A07"/>
    <w:rsid w:val="00A82FE1"/>
    <w:rsid w:val="00A83075"/>
    <w:rsid w:val="00A854A2"/>
    <w:rsid w:val="00A86392"/>
    <w:rsid w:val="00A8659D"/>
    <w:rsid w:val="00A8715A"/>
    <w:rsid w:val="00A874B0"/>
    <w:rsid w:val="00A875BE"/>
    <w:rsid w:val="00A912B1"/>
    <w:rsid w:val="00A944DF"/>
    <w:rsid w:val="00A94960"/>
    <w:rsid w:val="00A953BA"/>
    <w:rsid w:val="00A9600B"/>
    <w:rsid w:val="00A974E8"/>
    <w:rsid w:val="00AA22E3"/>
    <w:rsid w:val="00AA238B"/>
    <w:rsid w:val="00AA3523"/>
    <w:rsid w:val="00AA45ED"/>
    <w:rsid w:val="00AA56C8"/>
    <w:rsid w:val="00AA60B5"/>
    <w:rsid w:val="00AA6D21"/>
    <w:rsid w:val="00AB23B5"/>
    <w:rsid w:val="00AB31F7"/>
    <w:rsid w:val="00AB4F8C"/>
    <w:rsid w:val="00AB5925"/>
    <w:rsid w:val="00AC1EC2"/>
    <w:rsid w:val="00AC4A35"/>
    <w:rsid w:val="00AC61D1"/>
    <w:rsid w:val="00AC6803"/>
    <w:rsid w:val="00AD3456"/>
    <w:rsid w:val="00AD40B6"/>
    <w:rsid w:val="00AD4CD9"/>
    <w:rsid w:val="00AD5359"/>
    <w:rsid w:val="00AD6E19"/>
    <w:rsid w:val="00AD7233"/>
    <w:rsid w:val="00AE0D44"/>
    <w:rsid w:val="00AE3108"/>
    <w:rsid w:val="00AE337A"/>
    <w:rsid w:val="00AE5799"/>
    <w:rsid w:val="00AE621B"/>
    <w:rsid w:val="00AE69BC"/>
    <w:rsid w:val="00AF1B17"/>
    <w:rsid w:val="00AF3C6C"/>
    <w:rsid w:val="00AF7C76"/>
    <w:rsid w:val="00B00B51"/>
    <w:rsid w:val="00B02801"/>
    <w:rsid w:val="00B0314B"/>
    <w:rsid w:val="00B03C19"/>
    <w:rsid w:val="00B049AE"/>
    <w:rsid w:val="00B055B9"/>
    <w:rsid w:val="00B064BE"/>
    <w:rsid w:val="00B06528"/>
    <w:rsid w:val="00B06E20"/>
    <w:rsid w:val="00B10329"/>
    <w:rsid w:val="00B103BF"/>
    <w:rsid w:val="00B113B7"/>
    <w:rsid w:val="00B12633"/>
    <w:rsid w:val="00B12E85"/>
    <w:rsid w:val="00B13C9B"/>
    <w:rsid w:val="00B1506D"/>
    <w:rsid w:val="00B159E1"/>
    <w:rsid w:val="00B175D7"/>
    <w:rsid w:val="00B17E18"/>
    <w:rsid w:val="00B245E0"/>
    <w:rsid w:val="00B256D5"/>
    <w:rsid w:val="00B25F15"/>
    <w:rsid w:val="00B26F3C"/>
    <w:rsid w:val="00B27033"/>
    <w:rsid w:val="00B3279F"/>
    <w:rsid w:val="00B32A1F"/>
    <w:rsid w:val="00B33008"/>
    <w:rsid w:val="00B3600D"/>
    <w:rsid w:val="00B412B9"/>
    <w:rsid w:val="00B43E48"/>
    <w:rsid w:val="00B4417D"/>
    <w:rsid w:val="00B45799"/>
    <w:rsid w:val="00B50238"/>
    <w:rsid w:val="00B54169"/>
    <w:rsid w:val="00B555BF"/>
    <w:rsid w:val="00B55F52"/>
    <w:rsid w:val="00B5743B"/>
    <w:rsid w:val="00B60E0A"/>
    <w:rsid w:val="00B61E3E"/>
    <w:rsid w:val="00B62E62"/>
    <w:rsid w:val="00B65866"/>
    <w:rsid w:val="00B70B1F"/>
    <w:rsid w:val="00B70F73"/>
    <w:rsid w:val="00B71665"/>
    <w:rsid w:val="00B71748"/>
    <w:rsid w:val="00B71915"/>
    <w:rsid w:val="00B721A1"/>
    <w:rsid w:val="00B746CF"/>
    <w:rsid w:val="00B75CFC"/>
    <w:rsid w:val="00B7686A"/>
    <w:rsid w:val="00B813AB"/>
    <w:rsid w:val="00B84961"/>
    <w:rsid w:val="00B861E5"/>
    <w:rsid w:val="00B86DF9"/>
    <w:rsid w:val="00B87BDF"/>
    <w:rsid w:val="00B904AD"/>
    <w:rsid w:val="00B918C3"/>
    <w:rsid w:val="00B9727D"/>
    <w:rsid w:val="00B97D2F"/>
    <w:rsid w:val="00BA1F3F"/>
    <w:rsid w:val="00BA2769"/>
    <w:rsid w:val="00BA4C35"/>
    <w:rsid w:val="00BA671D"/>
    <w:rsid w:val="00BA771E"/>
    <w:rsid w:val="00BB07A2"/>
    <w:rsid w:val="00BB0FA0"/>
    <w:rsid w:val="00BB20ED"/>
    <w:rsid w:val="00BB3A8F"/>
    <w:rsid w:val="00BB4373"/>
    <w:rsid w:val="00BB5556"/>
    <w:rsid w:val="00BB64EF"/>
    <w:rsid w:val="00BC14EE"/>
    <w:rsid w:val="00BC43F4"/>
    <w:rsid w:val="00BC442D"/>
    <w:rsid w:val="00BC48E7"/>
    <w:rsid w:val="00BC6222"/>
    <w:rsid w:val="00BC633F"/>
    <w:rsid w:val="00BD1EEB"/>
    <w:rsid w:val="00BD24FC"/>
    <w:rsid w:val="00BD515D"/>
    <w:rsid w:val="00BD5AE5"/>
    <w:rsid w:val="00BD733F"/>
    <w:rsid w:val="00BE1D33"/>
    <w:rsid w:val="00BE1FBA"/>
    <w:rsid w:val="00BE2156"/>
    <w:rsid w:val="00BE2B89"/>
    <w:rsid w:val="00BE34E5"/>
    <w:rsid w:val="00BE6606"/>
    <w:rsid w:val="00BF1217"/>
    <w:rsid w:val="00BF1B81"/>
    <w:rsid w:val="00BF2230"/>
    <w:rsid w:val="00BF40FE"/>
    <w:rsid w:val="00BF43CF"/>
    <w:rsid w:val="00BF4839"/>
    <w:rsid w:val="00BF4A96"/>
    <w:rsid w:val="00BF50C2"/>
    <w:rsid w:val="00BF5C58"/>
    <w:rsid w:val="00BF7117"/>
    <w:rsid w:val="00C05A5B"/>
    <w:rsid w:val="00C0634B"/>
    <w:rsid w:val="00C06AB8"/>
    <w:rsid w:val="00C07C69"/>
    <w:rsid w:val="00C07E21"/>
    <w:rsid w:val="00C10375"/>
    <w:rsid w:val="00C104E3"/>
    <w:rsid w:val="00C10A68"/>
    <w:rsid w:val="00C1107E"/>
    <w:rsid w:val="00C11212"/>
    <w:rsid w:val="00C125FA"/>
    <w:rsid w:val="00C15292"/>
    <w:rsid w:val="00C15EAA"/>
    <w:rsid w:val="00C16E26"/>
    <w:rsid w:val="00C17B06"/>
    <w:rsid w:val="00C17DB7"/>
    <w:rsid w:val="00C202B0"/>
    <w:rsid w:val="00C21D94"/>
    <w:rsid w:val="00C22354"/>
    <w:rsid w:val="00C2548B"/>
    <w:rsid w:val="00C30A90"/>
    <w:rsid w:val="00C31E0E"/>
    <w:rsid w:val="00C353C3"/>
    <w:rsid w:val="00C35D86"/>
    <w:rsid w:val="00C42CA4"/>
    <w:rsid w:val="00C44ECE"/>
    <w:rsid w:val="00C44FAC"/>
    <w:rsid w:val="00C45DF0"/>
    <w:rsid w:val="00C47CAD"/>
    <w:rsid w:val="00C50089"/>
    <w:rsid w:val="00C51823"/>
    <w:rsid w:val="00C5260E"/>
    <w:rsid w:val="00C528FF"/>
    <w:rsid w:val="00C52EB5"/>
    <w:rsid w:val="00C53BB9"/>
    <w:rsid w:val="00C53C09"/>
    <w:rsid w:val="00C54B18"/>
    <w:rsid w:val="00C57CB8"/>
    <w:rsid w:val="00C60DB6"/>
    <w:rsid w:val="00C6117B"/>
    <w:rsid w:val="00C6173F"/>
    <w:rsid w:val="00C62EC2"/>
    <w:rsid w:val="00C63EF9"/>
    <w:rsid w:val="00C6488E"/>
    <w:rsid w:val="00C64E80"/>
    <w:rsid w:val="00C65650"/>
    <w:rsid w:val="00C65B95"/>
    <w:rsid w:val="00C666F4"/>
    <w:rsid w:val="00C67886"/>
    <w:rsid w:val="00C70093"/>
    <w:rsid w:val="00C70E93"/>
    <w:rsid w:val="00C71006"/>
    <w:rsid w:val="00C71334"/>
    <w:rsid w:val="00C733EB"/>
    <w:rsid w:val="00C7356C"/>
    <w:rsid w:val="00C745B7"/>
    <w:rsid w:val="00C750CB"/>
    <w:rsid w:val="00C76FD1"/>
    <w:rsid w:val="00C80C7B"/>
    <w:rsid w:val="00C82D3E"/>
    <w:rsid w:val="00C82E88"/>
    <w:rsid w:val="00C83EC7"/>
    <w:rsid w:val="00C844F3"/>
    <w:rsid w:val="00C85FB1"/>
    <w:rsid w:val="00C86A6E"/>
    <w:rsid w:val="00C87829"/>
    <w:rsid w:val="00C905DC"/>
    <w:rsid w:val="00C90745"/>
    <w:rsid w:val="00C90D15"/>
    <w:rsid w:val="00C9463A"/>
    <w:rsid w:val="00CA0905"/>
    <w:rsid w:val="00CA0C3D"/>
    <w:rsid w:val="00CA1695"/>
    <w:rsid w:val="00CA209B"/>
    <w:rsid w:val="00CA2FBF"/>
    <w:rsid w:val="00CA53C5"/>
    <w:rsid w:val="00CA55E3"/>
    <w:rsid w:val="00CA572B"/>
    <w:rsid w:val="00CB0BB8"/>
    <w:rsid w:val="00CB2334"/>
    <w:rsid w:val="00CB2DF8"/>
    <w:rsid w:val="00CB460E"/>
    <w:rsid w:val="00CB5C85"/>
    <w:rsid w:val="00CB7408"/>
    <w:rsid w:val="00CB7ED2"/>
    <w:rsid w:val="00CC0C62"/>
    <w:rsid w:val="00CC0FC9"/>
    <w:rsid w:val="00CC15DC"/>
    <w:rsid w:val="00CC20D9"/>
    <w:rsid w:val="00CC241C"/>
    <w:rsid w:val="00CC2E16"/>
    <w:rsid w:val="00CC4556"/>
    <w:rsid w:val="00CC6DBD"/>
    <w:rsid w:val="00CD02C5"/>
    <w:rsid w:val="00CD0A69"/>
    <w:rsid w:val="00CD110C"/>
    <w:rsid w:val="00CD1293"/>
    <w:rsid w:val="00CD132B"/>
    <w:rsid w:val="00CD39F2"/>
    <w:rsid w:val="00CD3DB3"/>
    <w:rsid w:val="00CD3FF1"/>
    <w:rsid w:val="00CD6A7A"/>
    <w:rsid w:val="00CD74F6"/>
    <w:rsid w:val="00CD75AA"/>
    <w:rsid w:val="00CE29CF"/>
    <w:rsid w:val="00CE3567"/>
    <w:rsid w:val="00CE3629"/>
    <w:rsid w:val="00CE3A7F"/>
    <w:rsid w:val="00CE3C51"/>
    <w:rsid w:val="00CE510F"/>
    <w:rsid w:val="00CE6017"/>
    <w:rsid w:val="00CE6AD2"/>
    <w:rsid w:val="00CF1D00"/>
    <w:rsid w:val="00CF250D"/>
    <w:rsid w:val="00CF270C"/>
    <w:rsid w:val="00CF51D9"/>
    <w:rsid w:val="00CF5315"/>
    <w:rsid w:val="00CF58B8"/>
    <w:rsid w:val="00CF5C1C"/>
    <w:rsid w:val="00D00B61"/>
    <w:rsid w:val="00D0265F"/>
    <w:rsid w:val="00D02F79"/>
    <w:rsid w:val="00D02FAF"/>
    <w:rsid w:val="00D06D82"/>
    <w:rsid w:val="00D105ED"/>
    <w:rsid w:val="00D13A21"/>
    <w:rsid w:val="00D14C73"/>
    <w:rsid w:val="00D17F40"/>
    <w:rsid w:val="00D2111C"/>
    <w:rsid w:val="00D21150"/>
    <w:rsid w:val="00D21367"/>
    <w:rsid w:val="00D217E4"/>
    <w:rsid w:val="00D22931"/>
    <w:rsid w:val="00D22F1B"/>
    <w:rsid w:val="00D24B1B"/>
    <w:rsid w:val="00D2686F"/>
    <w:rsid w:val="00D274E3"/>
    <w:rsid w:val="00D32A86"/>
    <w:rsid w:val="00D35BD7"/>
    <w:rsid w:val="00D41015"/>
    <w:rsid w:val="00D421BA"/>
    <w:rsid w:val="00D43F01"/>
    <w:rsid w:val="00D4420C"/>
    <w:rsid w:val="00D4482D"/>
    <w:rsid w:val="00D46F2A"/>
    <w:rsid w:val="00D508C8"/>
    <w:rsid w:val="00D50C43"/>
    <w:rsid w:val="00D5262E"/>
    <w:rsid w:val="00D546C6"/>
    <w:rsid w:val="00D56C9B"/>
    <w:rsid w:val="00D57007"/>
    <w:rsid w:val="00D57705"/>
    <w:rsid w:val="00D578B1"/>
    <w:rsid w:val="00D623F8"/>
    <w:rsid w:val="00D635FC"/>
    <w:rsid w:val="00D64303"/>
    <w:rsid w:val="00D678E5"/>
    <w:rsid w:val="00D70DB7"/>
    <w:rsid w:val="00D71344"/>
    <w:rsid w:val="00D71F77"/>
    <w:rsid w:val="00D73382"/>
    <w:rsid w:val="00D73601"/>
    <w:rsid w:val="00D74681"/>
    <w:rsid w:val="00D75D47"/>
    <w:rsid w:val="00D76504"/>
    <w:rsid w:val="00D76530"/>
    <w:rsid w:val="00D84C13"/>
    <w:rsid w:val="00D85E1A"/>
    <w:rsid w:val="00D87E2F"/>
    <w:rsid w:val="00D92732"/>
    <w:rsid w:val="00D92C67"/>
    <w:rsid w:val="00D94927"/>
    <w:rsid w:val="00D94995"/>
    <w:rsid w:val="00D95376"/>
    <w:rsid w:val="00D95B70"/>
    <w:rsid w:val="00D96D9C"/>
    <w:rsid w:val="00DA045A"/>
    <w:rsid w:val="00DA1AA9"/>
    <w:rsid w:val="00DA226E"/>
    <w:rsid w:val="00DA25EF"/>
    <w:rsid w:val="00DA465D"/>
    <w:rsid w:val="00DA46A2"/>
    <w:rsid w:val="00DA58B8"/>
    <w:rsid w:val="00DA64F8"/>
    <w:rsid w:val="00DA7108"/>
    <w:rsid w:val="00DA78E9"/>
    <w:rsid w:val="00DB0590"/>
    <w:rsid w:val="00DB0C63"/>
    <w:rsid w:val="00DB2347"/>
    <w:rsid w:val="00DB325D"/>
    <w:rsid w:val="00DB37D3"/>
    <w:rsid w:val="00DB6FD7"/>
    <w:rsid w:val="00DB7BC8"/>
    <w:rsid w:val="00DC133F"/>
    <w:rsid w:val="00DC1850"/>
    <w:rsid w:val="00DC2DFC"/>
    <w:rsid w:val="00DC3AED"/>
    <w:rsid w:val="00DC4048"/>
    <w:rsid w:val="00DC427A"/>
    <w:rsid w:val="00DC70DB"/>
    <w:rsid w:val="00DD0131"/>
    <w:rsid w:val="00DD01C7"/>
    <w:rsid w:val="00DD0208"/>
    <w:rsid w:val="00DD17AF"/>
    <w:rsid w:val="00DD1A35"/>
    <w:rsid w:val="00DD24EC"/>
    <w:rsid w:val="00DD3206"/>
    <w:rsid w:val="00DD3736"/>
    <w:rsid w:val="00DD44FD"/>
    <w:rsid w:val="00DD657A"/>
    <w:rsid w:val="00DD78C5"/>
    <w:rsid w:val="00DD79A6"/>
    <w:rsid w:val="00DE0C53"/>
    <w:rsid w:val="00DE290D"/>
    <w:rsid w:val="00DE6DF5"/>
    <w:rsid w:val="00DE7AD8"/>
    <w:rsid w:val="00DF25A7"/>
    <w:rsid w:val="00DF3380"/>
    <w:rsid w:val="00DF487C"/>
    <w:rsid w:val="00DF5AF2"/>
    <w:rsid w:val="00E0100E"/>
    <w:rsid w:val="00E020C3"/>
    <w:rsid w:val="00E02CA2"/>
    <w:rsid w:val="00E04C4C"/>
    <w:rsid w:val="00E051D7"/>
    <w:rsid w:val="00E05445"/>
    <w:rsid w:val="00E06799"/>
    <w:rsid w:val="00E0753E"/>
    <w:rsid w:val="00E07AC9"/>
    <w:rsid w:val="00E104C5"/>
    <w:rsid w:val="00E1093D"/>
    <w:rsid w:val="00E13F79"/>
    <w:rsid w:val="00E14C31"/>
    <w:rsid w:val="00E14DB9"/>
    <w:rsid w:val="00E15BAB"/>
    <w:rsid w:val="00E16090"/>
    <w:rsid w:val="00E1690E"/>
    <w:rsid w:val="00E16C42"/>
    <w:rsid w:val="00E16E3C"/>
    <w:rsid w:val="00E170AE"/>
    <w:rsid w:val="00E221C4"/>
    <w:rsid w:val="00E22513"/>
    <w:rsid w:val="00E228FC"/>
    <w:rsid w:val="00E22FB3"/>
    <w:rsid w:val="00E2499D"/>
    <w:rsid w:val="00E256C6"/>
    <w:rsid w:val="00E25C43"/>
    <w:rsid w:val="00E25CA8"/>
    <w:rsid w:val="00E25D07"/>
    <w:rsid w:val="00E26018"/>
    <w:rsid w:val="00E26979"/>
    <w:rsid w:val="00E30C97"/>
    <w:rsid w:val="00E32002"/>
    <w:rsid w:val="00E322CD"/>
    <w:rsid w:val="00E333C9"/>
    <w:rsid w:val="00E33F46"/>
    <w:rsid w:val="00E341F3"/>
    <w:rsid w:val="00E35C52"/>
    <w:rsid w:val="00E35F49"/>
    <w:rsid w:val="00E36A9B"/>
    <w:rsid w:val="00E40A43"/>
    <w:rsid w:val="00E40F66"/>
    <w:rsid w:val="00E41523"/>
    <w:rsid w:val="00E417E7"/>
    <w:rsid w:val="00E45570"/>
    <w:rsid w:val="00E459C0"/>
    <w:rsid w:val="00E471F0"/>
    <w:rsid w:val="00E50A8D"/>
    <w:rsid w:val="00E50B47"/>
    <w:rsid w:val="00E521BB"/>
    <w:rsid w:val="00E522FD"/>
    <w:rsid w:val="00E5247D"/>
    <w:rsid w:val="00E528A4"/>
    <w:rsid w:val="00E5338E"/>
    <w:rsid w:val="00E537BD"/>
    <w:rsid w:val="00E53B66"/>
    <w:rsid w:val="00E54B3C"/>
    <w:rsid w:val="00E54CE7"/>
    <w:rsid w:val="00E55710"/>
    <w:rsid w:val="00E57C5B"/>
    <w:rsid w:val="00E610E9"/>
    <w:rsid w:val="00E6229E"/>
    <w:rsid w:val="00E62EF7"/>
    <w:rsid w:val="00E655BA"/>
    <w:rsid w:val="00E6631E"/>
    <w:rsid w:val="00E70946"/>
    <w:rsid w:val="00E72BB8"/>
    <w:rsid w:val="00E73A73"/>
    <w:rsid w:val="00E74668"/>
    <w:rsid w:val="00E75141"/>
    <w:rsid w:val="00E752F0"/>
    <w:rsid w:val="00E772D9"/>
    <w:rsid w:val="00E77CEF"/>
    <w:rsid w:val="00E808CE"/>
    <w:rsid w:val="00E8095B"/>
    <w:rsid w:val="00E80A51"/>
    <w:rsid w:val="00E81467"/>
    <w:rsid w:val="00E836AE"/>
    <w:rsid w:val="00E843A1"/>
    <w:rsid w:val="00E85372"/>
    <w:rsid w:val="00E872C7"/>
    <w:rsid w:val="00E913AA"/>
    <w:rsid w:val="00E91FEB"/>
    <w:rsid w:val="00E92F87"/>
    <w:rsid w:val="00E933B3"/>
    <w:rsid w:val="00E97334"/>
    <w:rsid w:val="00E974A0"/>
    <w:rsid w:val="00EA2ADA"/>
    <w:rsid w:val="00EA7A2B"/>
    <w:rsid w:val="00EA7E3F"/>
    <w:rsid w:val="00EB2589"/>
    <w:rsid w:val="00EB2B0E"/>
    <w:rsid w:val="00EC0487"/>
    <w:rsid w:val="00EC10BE"/>
    <w:rsid w:val="00EC1F01"/>
    <w:rsid w:val="00EC2C3F"/>
    <w:rsid w:val="00EC4B0C"/>
    <w:rsid w:val="00EC5552"/>
    <w:rsid w:val="00EC602D"/>
    <w:rsid w:val="00EC6B4D"/>
    <w:rsid w:val="00EC6BED"/>
    <w:rsid w:val="00ED2645"/>
    <w:rsid w:val="00ED4DED"/>
    <w:rsid w:val="00ED6ED1"/>
    <w:rsid w:val="00ED73DC"/>
    <w:rsid w:val="00EE0128"/>
    <w:rsid w:val="00EE0695"/>
    <w:rsid w:val="00EE116F"/>
    <w:rsid w:val="00EE3AF4"/>
    <w:rsid w:val="00EE48B0"/>
    <w:rsid w:val="00EF0080"/>
    <w:rsid w:val="00EF23C0"/>
    <w:rsid w:val="00EF242F"/>
    <w:rsid w:val="00EF342B"/>
    <w:rsid w:val="00EF4020"/>
    <w:rsid w:val="00EF48FA"/>
    <w:rsid w:val="00EF5EF0"/>
    <w:rsid w:val="00EF6DED"/>
    <w:rsid w:val="00EF7AC1"/>
    <w:rsid w:val="00EF7D9B"/>
    <w:rsid w:val="00EF7F39"/>
    <w:rsid w:val="00F00517"/>
    <w:rsid w:val="00F009C8"/>
    <w:rsid w:val="00F00A92"/>
    <w:rsid w:val="00F03C46"/>
    <w:rsid w:val="00F03EB9"/>
    <w:rsid w:val="00F07F93"/>
    <w:rsid w:val="00F134A4"/>
    <w:rsid w:val="00F13E6F"/>
    <w:rsid w:val="00F17505"/>
    <w:rsid w:val="00F21B49"/>
    <w:rsid w:val="00F23F17"/>
    <w:rsid w:val="00F24907"/>
    <w:rsid w:val="00F319BF"/>
    <w:rsid w:val="00F32C7B"/>
    <w:rsid w:val="00F3423D"/>
    <w:rsid w:val="00F36F49"/>
    <w:rsid w:val="00F37262"/>
    <w:rsid w:val="00F40E60"/>
    <w:rsid w:val="00F414B4"/>
    <w:rsid w:val="00F4387B"/>
    <w:rsid w:val="00F43EA2"/>
    <w:rsid w:val="00F4429B"/>
    <w:rsid w:val="00F4578A"/>
    <w:rsid w:val="00F465D7"/>
    <w:rsid w:val="00F46ED8"/>
    <w:rsid w:val="00F46F7C"/>
    <w:rsid w:val="00F50587"/>
    <w:rsid w:val="00F512FB"/>
    <w:rsid w:val="00F541D3"/>
    <w:rsid w:val="00F54DAB"/>
    <w:rsid w:val="00F57198"/>
    <w:rsid w:val="00F5725D"/>
    <w:rsid w:val="00F57E73"/>
    <w:rsid w:val="00F601BD"/>
    <w:rsid w:val="00F60585"/>
    <w:rsid w:val="00F62482"/>
    <w:rsid w:val="00F62586"/>
    <w:rsid w:val="00F6344A"/>
    <w:rsid w:val="00F675CC"/>
    <w:rsid w:val="00F7080F"/>
    <w:rsid w:val="00F73465"/>
    <w:rsid w:val="00F735D7"/>
    <w:rsid w:val="00F75EA3"/>
    <w:rsid w:val="00F77A11"/>
    <w:rsid w:val="00F811E4"/>
    <w:rsid w:val="00F82A54"/>
    <w:rsid w:val="00F8370E"/>
    <w:rsid w:val="00F851A5"/>
    <w:rsid w:val="00F863FB"/>
    <w:rsid w:val="00F86DDA"/>
    <w:rsid w:val="00F878E2"/>
    <w:rsid w:val="00F91FE1"/>
    <w:rsid w:val="00F96682"/>
    <w:rsid w:val="00FA035E"/>
    <w:rsid w:val="00FA15D7"/>
    <w:rsid w:val="00FA1C45"/>
    <w:rsid w:val="00FA3A39"/>
    <w:rsid w:val="00FA5292"/>
    <w:rsid w:val="00FA5724"/>
    <w:rsid w:val="00FA67B9"/>
    <w:rsid w:val="00FA6EB8"/>
    <w:rsid w:val="00FA7236"/>
    <w:rsid w:val="00FB2962"/>
    <w:rsid w:val="00FB2C61"/>
    <w:rsid w:val="00FB41DE"/>
    <w:rsid w:val="00FB50E0"/>
    <w:rsid w:val="00FC1162"/>
    <w:rsid w:val="00FC26FF"/>
    <w:rsid w:val="00FC4867"/>
    <w:rsid w:val="00FC6FB3"/>
    <w:rsid w:val="00FC7336"/>
    <w:rsid w:val="00FC777F"/>
    <w:rsid w:val="00FD09A3"/>
    <w:rsid w:val="00FD1139"/>
    <w:rsid w:val="00FD122B"/>
    <w:rsid w:val="00FD1368"/>
    <w:rsid w:val="00FD2304"/>
    <w:rsid w:val="00FD29A0"/>
    <w:rsid w:val="00FD2D78"/>
    <w:rsid w:val="00FD2DC1"/>
    <w:rsid w:val="00FD3C94"/>
    <w:rsid w:val="00FD5E30"/>
    <w:rsid w:val="00FD673E"/>
    <w:rsid w:val="00FD6B37"/>
    <w:rsid w:val="00FD7CCE"/>
    <w:rsid w:val="00FE067D"/>
    <w:rsid w:val="00FE1556"/>
    <w:rsid w:val="00FE2FE8"/>
    <w:rsid w:val="00FE306B"/>
    <w:rsid w:val="00FE46CC"/>
    <w:rsid w:val="00FE555B"/>
    <w:rsid w:val="00FF1B52"/>
    <w:rsid w:val="00FF26A0"/>
    <w:rsid w:val="00FF33F9"/>
    <w:rsid w:val="00FF3784"/>
    <w:rsid w:val="00FF4A3A"/>
    <w:rsid w:val="00FF4D6C"/>
    <w:rsid w:val="00FF6B56"/>
    <w:rsid w:val="00FF7268"/>
    <w:rsid w:val="162A2F37"/>
    <w:rsid w:val="29D667C6"/>
    <w:rsid w:val="2EE394A8"/>
    <w:rsid w:val="30512003"/>
    <w:rsid w:val="37CF23C5"/>
    <w:rsid w:val="47ED1FCD"/>
    <w:rsid w:val="5802B067"/>
    <w:rsid w:val="64F04350"/>
    <w:rsid w:val="6FAA87B4"/>
    <w:rsid w:val="76DCA366"/>
    <w:rsid w:val="76F935BC"/>
    <w:rsid w:val="77F1D5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D9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B6"/>
  </w:style>
  <w:style w:type="paragraph" w:styleId="Heading1">
    <w:name w:val="heading 1"/>
    <w:basedOn w:val="Normal"/>
    <w:next w:val="Normal"/>
    <w:link w:val="Heading1Char"/>
    <w:uiPriority w:val="9"/>
    <w:qFormat/>
    <w:rsid w:val="005F0474"/>
    <w:pPr>
      <w:keepNext/>
      <w:keepLines/>
      <w:spacing w:before="360" w:after="80"/>
      <w:outlineLvl w:val="0"/>
    </w:pPr>
    <w:rPr>
      <w:rFonts w:asciiTheme="majorHAnsi" w:eastAsiaTheme="majorEastAsia" w:hAnsiTheme="majorHAnsi" w:cstheme="majorBidi"/>
      <w:color w:val="003871" w:themeColor="accent1" w:themeShade="BF"/>
      <w:sz w:val="40"/>
      <w:szCs w:val="40"/>
    </w:rPr>
  </w:style>
  <w:style w:type="paragraph" w:styleId="Heading2">
    <w:name w:val="heading 2"/>
    <w:basedOn w:val="Normal"/>
    <w:next w:val="Normal"/>
    <w:link w:val="Heading2Char"/>
    <w:uiPriority w:val="9"/>
    <w:semiHidden/>
    <w:unhideWhenUsed/>
    <w:qFormat/>
    <w:rsid w:val="005F0474"/>
    <w:pPr>
      <w:keepNext/>
      <w:keepLines/>
      <w:spacing w:before="160" w:after="80"/>
      <w:outlineLvl w:val="1"/>
    </w:pPr>
    <w:rPr>
      <w:rFonts w:asciiTheme="majorHAnsi" w:eastAsiaTheme="majorEastAsia" w:hAnsiTheme="majorHAnsi" w:cstheme="majorBidi"/>
      <w:color w:val="003871" w:themeColor="accent1" w:themeShade="BF"/>
      <w:sz w:val="32"/>
      <w:szCs w:val="32"/>
    </w:rPr>
  </w:style>
  <w:style w:type="paragraph" w:styleId="Heading3">
    <w:name w:val="heading 3"/>
    <w:basedOn w:val="Normal"/>
    <w:next w:val="Normal"/>
    <w:link w:val="Heading3Char"/>
    <w:uiPriority w:val="9"/>
    <w:semiHidden/>
    <w:unhideWhenUsed/>
    <w:qFormat/>
    <w:rsid w:val="005F0474"/>
    <w:pPr>
      <w:keepNext/>
      <w:keepLines/>
      <w:spacing w:before="160" w:after="80"/>
      <w:outlineLvl w:val="2"/>
    </w:pPr>
    <w:rPr>
      <w:rFonts w:eastAsiaTheme="majorEastAsia" w:cstheme="majorBidi"/>
      <w:color w:val="003871" w:themeColor="accent1" w:themeShade="BF"/>
      <w:sz w:val="28"/>
      <w:szCs w:val="28"/>
    </w:rPr>
  </w:style>
  <w:style w:type="paragraph" w:styleId="Heading4">
    <w:name w:val="heading 4"/>
    <w:basedOn w:val="Normal"/>
    <w:next w:val="Normal"/>
    <w:link w:val="Heading4Char"/>
    <w:uiPriority w:val="9"/>
    <w:semiHidden/>
    <w:unhideWhenUsed/>
    <w:qFormat/>
    <w:rsid w:val="005F0474"/>
    <w:pPr>
      <w:keepNext/>
      <w:keepLines/>
      <w:spacing w:before="80" w:after="40"/>
      <w:outlineLvl w:val="3"/>
    </w:pPr>
    <w:rPr>
      <w:rFonts w:eastAsiaTheme="majorEastAsia" w:cstheme="majorBidi"/>
      <w:i/>
      <w:iCs/>
      <w:color w:val="003871" w:themeColor="accent1" w:themeShade="BF"/>
    </w:rPr>
  </w:style>
  <w:style w:type="paragraph" w:styleId="Heading5">
    <w:name w:val="heading 5"/>
    <w:basedOn w:val="Normal"/>
    <w:next w:val="Normal"/>
    <w:link w:val="Heading5Char"/>
    <w:uiPriority w:val="9"/>
    <w:semiHidden/>
    <w:unhideWhenUsed/>
    <w:qFormat/>
    <w:rsid w:val="005F0474"/>
    <w:pPr>
      <w:keepNext/>
      <w:keepLines/>
      <w:spacing w:before="80" w:after="40"/>
      <w:outlineLvl w:val="4"/>
    </w:pPr>
    <w:rPr>
      <w:rFonts w:eastAsiaTheme="majorEastAsia" w:cstheme="majorBidi"/>
      <w:color w:val="003871" w:themeColor="accent1" w:themeShade="BF"/>
    </w:rPr>
  </w:style>
  <w:style w:type="paragraph" w:styleId="Heading6">
    <w:name w:val="heading 6"/>
    <w:basedOn w:val="Normal"/>
    <w:next w:val="Normal"/>
    <w:link w:val="Heading6Char"/>
    <w:uiPriority w:val="9"/>
    <w:semiHidden/>
    <w:unhideWhenUsed/>
    <w:qFormat/>
    <w:rsid w:val="005F0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74"/>
    <w:rPr>
      <w:rFonts w:asciiTheme="majorHAnsi" w:eastAsiaTheme="majorEastAsia" w:hAnsiTheme="majorHAnsi" w:cstheme="majorBidi"/>
      <w:color w:val="003871" w:themeColor="accent1" w:themeShade="BF"/>
      <w:sz w:val="40"/>
      <w:szCs w:val="40"/>
    </w:rPr>
  </w:style>
  <w:style w:type="character" w:customStyle="1" w:styleId="Heading2Char">
    <w:name w:val="Heading 2 Char"/>
    <w:basedOn w:val="DefaultParagraphFont"/>
    <w:link w:val="Heading2"/>
    <w:uiPriority w:val="9"/>
    <w:semiHidden/>
    <w:rsid w:val="005F0474"/>
    <w:rPr>
      <w:rFonts w:asciiTheme="majorHAnsi" w:eastAsiaTheme="majorEastAsia" w:hAnsiTheme="majorHAnsi" w:cstheme="majorBidi"/>
      <w:color w:val="003871" w:themeColor="accent1" w:themeShade="BF"/>
      <w:sz w:val="32"/>
      <w:szCs w:val="32"/>
    </w:rPr>
  </w:style>
  <w:style w:type="character" w:customStyle="1" w:styleId="Heading3Char">
    <w:name w:val="Heading 3 Char"/>
    <w:basedOn w:val="DefaultParagraphFont"/>
    <w:link w:val="Heading3"/>
    <w:uiPriority w:val="9"/>
    <w:semiHidden/>
    <w:rsid w:val="005F0474"/>
    <w:rPr>
      <w:rFonts w:eastAsiaTheme="majorEastAsia" w:cstheme="majorBidi"/>
      <w:color w:val="003871" w:themeColor="accent1" w:themeShade="BF"/>
      <w:sz w:val="28"/>
      <w:szCs w:val="28"/>
    </w:rPr>
  </w:style>
  <w:style w:type="character" w:customStyle="1" w:styleId="Heading4Char">
    <w:name w:val="Heading 4 Char"/>
    <w:basedOn w:val="DefaultParagraphFont"/>
    <w:link w:val="Heading4"/>
    <w:uiPriority w:val="9"/>
    <w:semiHidden/>
    <w:rsid w:val="005F0474"/>
    <w:rPr>
      <w:rFonts w:eastAsiaTheme="majorEastAsia" w:cstheme="majorBidi"/>
      <w:i/>
      <w:iCs/>
      <w:color w:val="003871" w:themeColor="accent1" w:themeShade="BF"/>
    </w:rPr>
  </w:style>
  <w:style w:type="character" w:customStyle="1" w:styleId="Heading5Char">
    <w:name w:val="Heading 5 Char"/>
    <w:basedOn w:val="DefaultParagraphFont"/>
    <w:link w:val="Heading5"/>
    <w:uiPriority w:val="9"/>
    <w:semiHidden/>
    <w:rsid w:val="005F0474"/>
    <w:rPr>
      <w:rFonts w:eastAsiaTheme="majorEastAsia" w:cstheme="majorBidi"/>
      <w:color w:val="003871" w:themeColor="accent1" w:themeShade="BF"/>
    </w:rPr>
  </w:style>
  <w:style w:type="character" w:customStyle="1" w:styleId="Heading6Char">
    <w:name w:val="Heading 6 Char"/>
    <w:basedOn w:val="DefaultParagraphFont"/>
    <w:link w:val="Heading6"/>
    <w:uiPriority w:val="9"/>
    <w:semiHidden/>
    <w:rsid w:val="005F0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74"/>
    <w:rPr>
      <w:rFonts w:eastAsiaTheme="majorEastAsia" w:cstheme="majorBidi"/>
      <w:color w:val="272727" w:themeColor="text1" w:themeTint="D8"/>
    </w:rPr>
  </w:style>
  <w:style w:type="paragraph" w:styleId="Title">
    <w:name w:val="Title"/>
    <w:basedOn w:val="Normal"/>
    <w:next w:val="Normal"/>
    <w:link w:val="TitleChar"/>
    <w:uiPriority w:val="10"/>
    <w:qFormat/>
    <w:rsid w:val="005F0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74"/>
    <w:pPr>
      <w:spacing w:before="160"/>
      <w:jc w:val="center"/>
    </w:pPr>
    <w:rPr>
      <w:i/>
      <w:iCs/>
      <w:color w:val="404040" w:themeColor="text1" w:themeTint="BF"/>
    </w:rPr>
  </w:style>
  <w:style w:type="character" w:customStyle="1" w:styleId="QuoteChar">
    <w:name w:val="Quote Char"/>
    <w:basedOn w:val="DefaultParagraphFont"/>
    <w:link w:val="Quote"/>
    <w:uiPriority w:val="29"/>
    <w:rsid w:val="005F0474"/>
    <w:rPr>
      <w:i/>
      <w:iCs/>
      <w:color w:val="404040" w:themeColor="text1" w:themeTint="BF"/>
    </w:rPr>
  </w:style>
  <w:style w:type="paragraph" w:styleId="ListParagraph">
    <w:name w:val="List Paragraph"/>
    <w:basedOn w:val="Normal"/>
    <w:uiPriority w:val="34"/>
    <w:qFormat/>
    <w:rsid w:val="005F0474"/>
    <w:pPr>
      <w:ind w:left="720"/>
      <w:contextualSpacing/>
    </w:pPr>
  </w:style>
  <w:style w:type="character" w:styleId="IntenseEmphasis">
    <w:name w:val="Intense Emphasis"/>
    <w:basedOn w:val="DefaultParagraphFont"/>
    <w:uiPriority w:val="21"/>
    <w:qFormat/>
    <w:rsid w:val="005F0474"/>
    <w:rPr>
      <w:i/>
      <w:iCs/>
      <w:color w:val="003871" w:themeColor="accent1" w:themeShade="BF"/>
    </w:rPr>
  </w:style>
  <w:style w:type="paragraph" w:styleId="IntenseQuote">
    <w:name w:val="Intense Quote"/>
    <w:basedOn w:val="Normal"/>
    <w:next w:val="Normal"/>
    <w:link w:val="IntenseQuoteChar"/>
    <w:uiPriority w:val="30"/>
    <w:qFormat/>
    <w:rsid w:val="005F0474"/>
    <w:pPr>
      <w:pBdr>
        <w:top w:val="single" w:sz="4" w:space="10" w:color="003871" w:themeColor="accent1" w:themeShade="BF"/>
        <w:bottom w:val="single" w:sz="4" w:space="10" w:color="003871" w:themeColor="accent1" w:themeShade="BF"/>
      </w:pBdr>
      <w:spacing w:before="360" w:after="360"/>
      <w:ind w:left="864" w:right="864"/>
      <w:jc w:val="center"/>
    </w:pPr>
    <w:rPr>
      <w:i/>
      <w:iCs/>
      <w:color w:val="003871" w:themeColor="accent1" w:themeShade="BF"/>
    </w:rPr>
  </w:style>
  <w:style w:type="character" w:customStyle="1" w:styleId="IntenseQuoteChar">
    <w:name w:val="Intense Quote Char"/>
    <w:basedOn w:val="DefaultParagraphFont"/>
    <w:link w:val="IntenseQuote"/>
    <w:uiPriority w:val="30"/>
    <w:rsid w:val="005F0474"/>
    <w:rPr>
      <w:i/>
      <w:iCs/>
      <w:color w:val="003871" w:themeColor="accent1" w:themeShade="BF"/>
    </w:rPr>
  </w:style>
  <w:style w:type="character" w:styleId="IntenseReference">
    <w:name w:val="Intense Reference"/>
    <w:basedOn w:val="DefaultParagraphFont"/>
    <w:uiPriority w:val="32"/>
    <w:qFormat/>
    <w:rsid w:val="005F0474"/>
    <w:rPr>
      <w:b/>
      <w:bCs/>
      <w:smallCaps/>
      <w:color w:val="003871" w:themeColor="accent1" w:themeShade="BF"/>
      <w:spacing w:val="5"/>
    </w:rPr>
  </w:style>
  <w:style w:type="table" w:styleId="TableGrid">
    <w:name w:val="Table Grid"/>
    <w:basedOn w:val="TableNormal"/>
    <w:uiPriority w:val="5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isationtext">
    <w:name w:val="Authorisation text"/>
    <w:basedOn w:val="Normal"/>
    <w:qFormat/>
    <w:rsid w:val="00485054"/>
    <w:pPr>
      <w:suppressAutoHyphens/>
      <w:autoSpaceDE w:val="0"/>
      <w:autoSpaceDN w:val="0"/>
      <w:adjustRightInd w:val="0"/>
      <w:spacing w:line="200" w:lineRule="atLeast"/>
      <w:textAlignment w:val="center"/>
    </w:pPr>
    <w:rPr>
      <w:rFonts w:ascii="Arial" w:hAnsi="Arial" w:cs="Arial"/>
      <w:color w:val="000000"/>
      <w:sz w:val="16"/>
      <w:szCs w:val="16"/>
      <w:lang w:val="en-US"/>
      <w14:ligatures w14:val="none"/>
    </w:rPr>
  </w:style>
  <w:style w:type="table" w:styleId="TableGridLight">
    <w:name w:val="Grid Table Light"/>
    <w:basedOn w:val="TableNormal"/>
    <w:uiPriority w:val="40"/>
    <w:rsid w:val="00485054"/>
    <w:pPr>
      <w:spacing w:after="0" w:line="240" w:lineRule="auto"/>
    </w:pPr>
    <w:rPr>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85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54"/>
  </w:style>
  <w:style w:type="paragraph" w:styleId="Footer">
    <w:name w:val="footer"/>
    <w:basedOn w:val="Normal"/>
    <w:link w:val="FooterChar"/>
    <w:uiPriority w:val="99"/>
    <w:unhideWhenUsed/>
    <w:rsid w:val="00485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54"/>
  </w:style>
  <w:style w:type="character" w:styleId="CommentReference">
    <w:name w:val="annotation reference"/>
    <w:basedOn w:val="DefaultParagraphFont"/>
    <w:uiPriority w:val="99"/>
    <w:semiHidden/>
    <w:unhideWhenUsed/>
    <w:rsid w:val="00804F8B"/>
    <w:rPr>
      <w:sz w:val="16"/>
      <w:szCs w:val="16"/>
    </w:rPr>
  </w:style>
  <w:style w:type="paragraph" w:styleId="CommentText">
    <w:name w:val="annotation text"/>
    <w:basedOn w:val="Normal"/>
    <w:link w:val="CommentTextChar"/>
    <w:uiPriority w:val="99"/>
    <w:unhideWhenUsed/>
    <w:rsid w:val="00804F8B"/>
    <w:pPr>
      <w:spacing w:line="240" w:lineRule="auto"/>
    </w:pPr>
    <w:rPr>
      <w:sz w:val="20"/>
      <w:szCs w:val="20"/>
    </w:rPr>
  </w:style>
  <w:style w:type="character" w:customStyle="1" w:styleId="CommentTextChar">
    <w:name w:val="Comment Text Char"/>
    <w:basedOn w:val="DefaultParagraphFont"/>
    <w:link w:val="CommentText"/>
    <w:uiPriority w:val="99"/>
    <w:rsid w:val="00804F8B"/>
    <w:rPr>
      <w:sz w:val="20"/>
      <w:szCs w:val="20"/>
    </w:rPr>
  </w:style>
  <w:style w:type="paragraph" w:styleId="CommentSubject">
    <w:name w:val="annotation subject"/>
    <w:basedOn w:val="CommentText"/>
    <w:next w:val="CommentText"/>
    <w:link w:val="CommentSubjectChar"/>
    <w:uiPriority w:val="99"/>
    <w:semiHidden/>
    <w:unhideWhenUsed/>
    <w:rsid w:val="00804F8B"/>
    <w:rPr>
      <w:b/>
      <w:bCs/>
    </w:rPr>
  </w:style>
  <w:style w:type="character" w:customStyle="1" w:styleId="CommentSubjectChar">
    <w:name w:val="Comment Subject Char"/>
    <w:basedOn w:val="CommentTextChar"/>
    <w:link w:val="CommentSubject"/>
    <w:uiPriority w:val="99"/>
    <w:semiHidden/>
    <w:rsid w:val="00804F8B"/>
    <w:rPr>
      <w:b/>
      <w:bCs/>
      <w:sz w:val="20"/>
      <w:szCs w:val="20"/>
    </w:rPr>
  </w:style>
  <w:style w:type="paragraph" w:styleId="Revision">
    <w:name w:val="Revision"/>
    <w:hidden/>
    <w:uiPriority w:val="99"/>
    <w:semiHidden/>
    <w:rsid w:val="00DA46A2"/>
    <w:pPr>
      <w:spacing w:after="0" w:line="240" w:lineRule="auto"/>
    </w:pPr>
  </w:style>
  <w:style w:type="paragraph" w:customStyle="1" w:styleId="Body">
    <w:name w:val="Body"/>
    <w:qFormat/>
    <w:rsid w:val="00B06E20"/>
    <w:pPr>
      <w:keepNext/>
      <w:keepLines/>
      <w:numPr>
        <w:ilvl w:val="2"/>
      </w:numPr>
      <w:tabs>
        <w:tab w:val="num" w:pos="0"/>
        <w:tab w:val="left" w:pos="1418"/>
        <w:tab w:val="left" w:pos="1701"/>
        <w:tab w:val="left" w:pos="1985"/>
      </w:tabs>
      <w:spacing w:before="60" w:after="0" w:line="240" w:lineRule="auto"/>
      <w:outlineLvl w:val="2"/>
    </w:pPr>
    <w:rPr>
      <w:rFonts w:ascii="Arial" w:eastAsia="Times New Roman" w:hAnsi="Arial" w:cs="Arial"/>
      <w:sz w:val="17"/>
      <w:szCs w:val="17"/>
      <w:lang w:eastAsia="en-AU"/>
      <w14:ligatures w14:val="none"/>
    </w:rPr>
  </w:style>
  <w:style w:type="paragraph" w:customStyle="1" w:styleId="TableBody">
    <w:name w:val="Table_Body"/>
    <w:qFormat/>
    <w:rsid w:val="00B06E20"/>
    <w:pPr>
      <w:spacing w:after="0" w:line="240" w:lineRule="auto"/>
    </w:pPr>
    <w:rPr>
      <w:rFonts w:ascii="Arial" w:eastAsia="Times New Roman" w:hAnsi="Arial" w:cs="Arial"/>
      <w:sz w:val="17"/>
      <w:szCs w:val="17"/>
      <w:lang w:eastAsia="en-AU"/>
      <w14:ligatures w14:val="none"/>
    </w:rPr>
  </w:style>
  <w:style w:type="paragraph" w:customStyle="1" w:styleId="TableHeading">
    <w:name w:val="Table_Heading"/>
    <w:qFormat/>
    <w:rsid w:val="00B06E20"/>
    <w:pPr>
      <w:spacing w:before="40" w:after="40" w:line="240" w:lineRule="auto"/>
    </w:pPr>
    <w:rPr>
      <w:rFonts w:ascii="Arial" w:eastAsia="Times New Roman" w:hAnsi="Arial" w:cs="Arial"/>
      <w:b/>
      <w:color w:val="FFFFFF" w:themeColor="background1"/>
      <w:sz w:val="20"/>
      <w:szCs w:val="20"/>
      <w:lang w:eastAsia="en-AU"/>
      <w14:ligatures w14:val="none"/>
    </w:rPr>
  </w:style>
  <w:style w:type="paragraph" w:customStyle="1" w:styleId="Bullets">
    <w:name w:val="Bullets"/>
    <w:qFormat/>
    <w:rsid w:val="00B06E20"/>
    <w:pPr>
      <w:numPr>
        <w:numId w:val="1"/>
      </w:numPr>
      <w:spacing w:before="5" w:after="0" w:line="240" w:lineRule="auto"/>
      <w:ind w:left="284" w:hanging="142"/>
    </w:pPr>
    <w:rPr>
      <w:rFonts w:ascii="Arial" w:hAnsi="Arial" w:cs="Arial"/>
      <w:color w:val="000000"/>
      <w:sz w:val="17"/>
      <w:szCs w:val="17"/>
      <w:lang w:eastAsia="en-AU"/>
      <w14:ligatures w14:val="none"/>
    </w:rPr>
  </w:style>
  <w:style w:type="paragraph" w:customStyle="1" w:styleId="paragraph">
    <w:name w:val="paragraph"/>
    <w:basedOn w:val="Normal"/>
    <w:rsid w:val="005854C0"/>
    <w:pPr>
      <w:spacing w:before="100" w:beforeAutospacing="1" w:after="100" w:afterAutospacing="1" w:line="240" w:lineRule="auto"/>
    </w:pPr>
    <w:rPr>
      <w:rFonts w:ascii="Times New Roman" w:eastAsia="Times New Roman" w:hAnsi="Times New Roman" w:cs="Times New Roman"/>
      <w:sz w:val="24"/>
      <w:szCs w:val="24"/>
      <w:lang w:eastAsia="en-AU"/>
      <w14:ligatures w14:val="none"/>
    </w:rPr>
  </w:style>
  <w:style w:type="character" w:customStyle="1" w:styleId="normaltextrun">
    <w:name w:val="normaltextrun"/>
    <w:basedOn w:val="DefaultParagraphFont"/>
    <w:rsid w:val="005854C0"/>
  </w:style>
  <w:style w:type="character" w:customStyle="1" w:styleId="eop">
    <w:name w:val="eop"/>
    <w:basedOn w:val="DefaultParagraphFont"/>
    <w:rsid w:val="005854C0"/>
  </w:style>
  <w:style w:type="character" w:styleId="Hyperlink">
    <w:name w:val="Hyperlink"/>
    <w:basedOn w:val="DefaultParagraphFont"/>
    <w:uiPriority w:val="99"/>
    <w:unhideWhenUsed/>
    <w:rsid w:val="00450934"/>
    <w:rPr>
      <w:color w:val="006864" w:themeColor="hyperlink"/>
      <w:u w:val="single"/>
    </w:rPr>
  </w:style>
  <w:style w:type="character" w:styleId="UnresolvedMention">
    <w:name w:val="Unresolved Mention"/>
    <w:basedOn w:val="DefaultParagraphFont"/>
    <w:uiPriority w:val="99"/>
    <w:semiHidden/>
    <w:unhideWhenUsed/>
    <w:rsid w:val="00450934"/>
    <w:rPr>
      <w:color w:val="605E5C"/>
      <w:shd w:val="clear" w:color="auto" w:fill="E1DFDD"/>
    </w:rPr>
  </w:style>
  <w:style w:type="character" w:styleId="FollowedHyperlink">
    <w:name w:val="FollowedHyperlink"/>
    <w:basedOn w:val="DefaultParagraphFont"/>
    <w:uiPriority w:val="99"/>
    <w:semiHidden/>
    <w:unhideWhenUsed/>
    <w:rsid w:val="008D68C4"/>
    <w:rPr>
      <w:color w:val="073041" w:themeColor="followedHyperlink"/>
      <w:u w:val="single"/>
    </w:rPr>
  </w:style>
  <w:style w:type="paragraph" w:styleId="FootnoteText">
    <w:name w:val="footnote text"/>
    <w:basedOn w:val="Normal"/>
    <w:link w:val="FootnoteTextChar"/>
    <w:uiPriority w:val="99"/>
    <w:semiHidden/>
    <w:unhideWhenUsed/>
    <w:rsid w:val="00E26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979"/>
    <w:rPr>
      <w:sz w:val="20"/>
      <w:szCs w:val="20"/>
    </w:rPr>
  </w:style>
  <w:style w:type="character" w:styleId="FootnoteReference">
    <w:name w:val="footnote reference"/>
    <w:basedOn w:val="DefaultParagraphFont"/>
    <w:uiPriority w:val="99"/>
    <w:semiHidden/>
    <w:unhideWhenUsed/>
    <w:rsid w:val="00E26979"/>
    <w:rPr>
      <w:vertAlign w:val="superscript"/>
    </w:rPr>
  </w:style>
  <w:style w:type="character" w:styleId="Strong">
    <w:name w:val="Strong"/>
    <w:basedOn w:val="DefaultParagraphFont"/>
    <w:uiPriority w:val="22"/>
    <w:qFormat/>
    <w:rsid w:val="00C6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682">
      <w:bodyDiv w:val="1"/>
      <w:marLeft w:val="0"/>
      <w:marRight w:val="0"/>
      <w:marTop w:val="0"/>
      <w:marBottom w:val="0"/>
      <w:divBdr>
        <w:top w:val="none" w:sz="0" w:space="0" w:color="auto"/>
        <w:left w:val="none" w:sz="0" w:space="0" w:color="auto"/>
        <w:bottom w:val="none" w:sz="0" w:space="0" w:color="auto"/>
        <w:right w:val="none" w:sz="0" w:space="0" w:color="auto"/>
      </w:divBdr>
    </w:div>
    <w:div w:id="879394609">
      <w:bodyDiv w:val="1"/>
      <w:marLeft w:val="0"/>
      <w:marRight w:val="0"/>
      <w:marTop w:val="0"/>
      <w:marBottom w:val="0"/>
      <w:divBdr>
        <w:top w:val="none" w:sz="0" w:space="0" w:color="auto"/>
        <w:left w:val="none" w:sz="0" w:space="0" w:color="auto"/>
        <w:bottom w:val="none" w:sz="0" w:space="0" w:color="auto"/>
        <w:right w:val="none" w:sz="0" w:space="0" w:color="auto"/>
      </w:divBdr>
      <w:divsChild>
        <w:div w:id="35391841">
          <w:marLeft w:val="0"/>
          <w:marRight w:val="0"/>
          <w:marTop w:val="0"/>
          <w:marBottom w:val="0"/>
          <w:divBdr>
            <w:top w:val="none" w:sz="0" w:space="0" w:color="auto"/>
            <w:left w:val="none" w:sz="0" w:space="0" w:color="auto"/>
            <w:bottom w:val="none" w:sz="0" w:space="0" w:color="auto"/>
            <w:right w:val="none" w:sz="0" w:space="0" w:color="auto"/>
          </w:divBdr>
          <w:divsChild>
            <w:div w:id="81997500">
              <w:marLeft w:val="0"/>
              <w:marRight w:val="0"/>
              <w:marTop w:val="0"/>
              <w:marBottom w:val="0"/>
              <w:divBdr>
                <w:top w:val="none" w:sz="0" w:space="0" w:color="auto"/>
                <w:left w:val="none" w:sz="0" w:space="0" w:color="auto"/>
                <w:bottom w:val="none" w:sz="0" w:space="0" w:color="auto"/>
                <w:right w:val="none" w:sz="0" w:space="0" w:color="auto"/>
              </w:divBdr>
              <w:divsChild>
                <w:div w:id="710231682">
                  <w:marLeft w:val="0"/>
                  <w:marRight w:val="0"/>
                  <w:marTop w:val="0"/>
                  <w:marBottom w:val="0"/>
                  <w:divBdr>
                    <w:top w:val="none" w:sz="0" w:space="0" w:color="auto"/>
                    <w:left w:val="none" w:sz="0" w:space="0" w:color="auto"/>
                    <w:bottom w:val="none" w:sz="0" w:space="0" w:color="auto"/>
                    <w:right w:val="none" w:sz="0" w:space="0" w:color="auto"/>
                  </w:divBdr>
                </w:div>
                <w:div w:id="883247630">
                  <w:marLeft w:val="0"/>
                  <w:marRight w:val="0"/>
                  <w:marTop w:val="0"/>
                  <w:marBottom w:val="0"/>
                  <w:divBdr>
                    <w:top w:val="none" w:sz="0" w:space="0" w:color="auto"/>
                    <w:left w:val="none" w:sz="0" w:space="0" w:color="auto"/>
                    <w:bottom w:val="none" w:sz="0" w:space="0" w:color="auto"/>
                    <w:right w:val="none" w:sz="0" w:space="0" w:color="auto"/>
                  </w:divBdr>
                </w:div>
                <w:div w:id="17332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1885">
          <w:marLeft w:val="0"/>
          <w:marRight w:val="0"/>
          <w:marTop w:val="0"/>
          <w:marBottom w:val="0"/>
          <w:divBdr>
            <w:top w:val="none" w:sz="0" w:space="0" w:color="auto"/>
            <w:left w:val="none" w:sz="0" w:space="0" w:color="auto"/>
            <w:bottom w:val="none" w:sz="0" w:space="0" w:color="auto"/>
            <w:right w:val="none" w:sz="0" w:space="0" w:color="auto"/>
          </w:divBdr>
          <w:divsChild>
            <w:div w:id="737940484">
              <w:marLeft w:val="0"/>
              <w:marRight w:val="0"/>
              <w:marTop w:val="0"/>
              <w:marBottom w:val="0"/>
              <w:divBdr>
                <w:top w:val="none" w:sz="0" w:space="0" w:color="auto"/>
                <w:left w:val="none" w:sz="0" w:space="0" w:color="auto"/>
                <w:bottom w:val="none" w:sz="0" w:space="0" w:color="auto"/>
                <w:right w:val="none" w:sz="0" w:space="0" w:color="auto"/>
              </w:divBdr>
            </w:div>
            <w:div w:id="1120799011">
              <w:marLeft w:val="0"/>
              <w:marRight w:val="0"/>
              <w:marTop w:val="0"/>
              <w:marBottom w:val="0"/>
              <w:divBdr>
                <w:top w:val="none" w:sz="0" w:space="0" w:color="auto"/>
                <w:left w:val="none" w:sz="0" w:space="0" w:color="auto"/>
                <w:bottom w:val="none" w:sz="0" w:space="0" w:color="auto"/>
                <w:right w:val="none" w:sz="0" w:space="0" w:color="auto"/>
              </w:divBdr>
              <w:divsChild>
                <w:div w:id="5491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4756">
          <w:marLeft w:val="0"/>
          <w:marRight w:val="0"/>
          <w:marTop w:val="0"/>
          <w:marBottom w:val="0"/>
          <w:divBdr>
            <w:top w:val="none" w:sz="0" w:space="0" w:color="auto"/>
            <w:left w:val="none" w:sz="0" w:space="0" w:color="auto"/>
            <w:bottom w:val="none" w:sz="0" w:space="0" w:color="auto"/>
            <w:right w:val="none" w:sz="0" w:space="0" w:color="auto"/>
          </w:divBdr>
          <w:divsChild>
            <w:div w:id="25255533">
              <w:marLeft w:val="0"/>
              <w:marRight w:val="0"/>
              <w:marTop w:val="0"/>
              <w:marBottom w:val="0"/>
              <w:divBdr>
                <w:top w:val="none" w:sz="0" w:space="0" w:color="auto"/>
                <w:left w:val="none" w:sz="0" w:space="0" w:color="auto"/>
                <w:bottom w:val="none" w:sz="0" w:space="0" w:color="auto"/>
                <w:right w:val="none" w:sz="0" w:space="0" w:color="auto"/>
              </w:divBdr>
            </w:div>
            <w:div w:id="355427934">
              <w:marLeft w:val="0"/>
              <w:marRight w:val="0"/>
              <w:marTop w:val="0"/>
              <w:marBottom w:val="0"/>
              <w:divBdr>
                <w:top w:val="none" w:sz="0" w:space="0" w:color="auto"/>
                <w:left w:val="none" w:sz="0" w:space="0" w:color="auto"/>
                <w:bottom w:val="none" w:sz="0" w:space="0" w:color="auto"/>
                <w:right w:val="none" w:sz="0" w:space="0" w:color="auto"/>
              </w:divBdr>
            </w:div>
            <w:div w:id="489442995">
              <w:marLeft w:val="0"/>
              <w:marRight w:val="0"/>
              <w:marTop w:val="0"/>
              <w:marBottom w:val="0"/>
              <w:divBdr>
                <w:top w:val="none" w:sz="0" w:space="0" w:color="auto"/>
                <w:left w:val="none" w:sz="0" w:space="0" w:color="auto"/>
                <w:bottom w:val="none" w:sz="0" w:space="0" w:color="auto"/>
                <w:right w:val="none" w:sz="0" w:space="0" w:color="auto"/>
              </w:divBdr>
            </w:div>
          </w:divsChild>
        </w:div>
        <w:div w:id="1221330739">
          <w:marLeft w:val="0"/>
          <w:marRight w:val="0"/>
          <w:marTop w:val="0"/>
          <w:marBottom w:val="0"/>
          <w:divBdr>
            <w:top w:val="none" w:sz="0" w:space="0" w:color="auto"/>
            <w:left w:val="none" w:sz="0" w:space="0" w:color="auto"/>
            <w:bottom w:val="none" w:sz="0" w:space="0" w:color="auto"/>
            <w:right w:val="none" w:sz="0" w:space="0" w:color="auto"/>
          </w:divBdr>
          <w:divsChild>
            <w:div w:id="77019636">
              <w:marLeft w:val="0"/>
              <w:marRight w:val="0"/>
              <w:marTop w:val="0"/>
              <w:marBottom w:val="0"/>
              <w:divBdr>
                <w:top w:val="none" w:sz="0" w:space="0" w:color="auto"/>
                <w:left w:val="none" w:sz="0" w:space="0" w:color="auto"/>
                <w:bottom w:val="none" w:sz="0" w:space="0" w:color="auto"/>
                <w:right w:val="none" w:sz="0" w:space="0" w:color="auto"/>
              </w:divBdr>
            </w:div>
            <w:div w:id="348021119">
              <w:marLeft w:val="0"/>
              <w:marRight w:val="0"/>
              <w:marTop w:val="0"/>
              <w:marBottom w:val="0"/>
              <w:divBdr>
                <w:top w:val="none" w:sz="0" w:space="0" w:color="auto"/>
                <w:left w:val="none" w:sz="0" w:space="0" w:color="auto"/>
                <w:bottom w:val="none" w:sz="0" w:space="0" w:color="auto"/>
                <w:right w:val="none" w:sz="0" w:space="0" w:color="auto"/>
              </w:divBdr>
              <w:divsChild>
                <w:div w:id="1399939462">
                  <w:marLeft w:val="0"/>
                  <w:marRight w:val="0"/>
                  <w:marTop w:val="0"/>
                  <w:marBottom w:val="0"/>
                  <w:divBdr>
                    <w:top w:val="none" w:sz="0" w:space="0" w:color="auto"/>
                    <w:left w:val="none" w:sz="0" w:space="0" w:color="auto"/>
                    <w:bottom w:val="none" w:sz="0" w:space="0" w:color="auto"/>
                    <w:right w:val="none" w:sz="0" w:space="0" w:color="auto"/>
                  </w:divBdr>
                </w:div>
                <w:div w:id="19675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3053">
          <w:marLeft w:val="0"/>
          <w:marRight w:val="0"/>
          <w:marTop w:val="0"/>
          <w:marBottom w:val="0"/>
          <w:divBdr>
            <w:top w:val="none" w:sz="0" w:space="0" w:color="auto"/>
            <w:left w:val="none" w:sz="0" w:space="0" w:color="auto"/>
            <w:bottom w:val="none" w:sz="0" w:space="0" w:color="auto"/>
            <w:right w:val="none" w:sz="0" w:space="0" w:color="auto"/>
          </w:divBdr>
          <w:divsChild>
            <w:div w:id="925188436">
              <w:marLeft w:val="0"/>
              <w:marRight w:val="0"/>
              <w:marTop w:val="0"/>
              <w:marBottom w:val="0"/>
              <w:divBdr>
                <w:top w:val="none" w:sz="0" w:space="0" w:color="auto"/>
                <w:left w:val="none" w:sz="0" w:space="0" w:color="auto"/>
                <w:bottom w:val="none" w:sz="0" w:space="0" w:color="auto"/>
                <w:right w:val="none" w:sz="0" w:space="0" w:color="auto"/>
              </w:divBdr>
            </w:div>
            <w:div w:id="19308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7935">
      <w:bodyDiv w:val="1"/>
      <w:marLeft w:val="0"/>
      <w:marRight w:val="0"/>
      <w:marTop w:val="0"/>
      <w:marBottom w:val="0"/>
      <w:divBdr>
        <w:top w:val="none" w:sz="0" w:space="0" w:color="auto"/>
        <w:left w:val="none" w:sz="0" w:space="0" w:color="auto"/>
        <w:bottom w:val="none" w:sz="0" w:space="0" w:color="auto"/>
        <w:right w:val="none" w:sz="0" w:space="0" w:color="auto"/>
      </w:divBdr>
    </w:div>
    <w:div w:id="984551014">
      <w:bodyDiv w:val="1"/>
      <w:marLeft w:val="0"/>
      <w:marRight w:val="0"/>
      <w:marTop w:val="0"/>
      <w:marBottom w:val="0"/>
      <w:divBdr>
        <w:top w:val="none" w:sz="0" w:space="0" w:color="auto"/>
        <w:left w:val="none" w:sz="0" w:space="0" w:color="auto"/>
        <w:bottom w:val="none" w:sz="0" w:space="0" w:color="auto"/>
        <w:right w:val="none" w:sz="0" w:space="0" w:color="auto"/>
      </w:divBdr>
    </w:div>
    <w:div w:id="98612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ustrac.gov.au/about-us/amlctf-reform/reforms-guidance/amlctf-program-reform/customer-due-diligence-reform/assigning-customer-risk-ratings-refor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DJSIR THEME">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18F0A-F4BF-4EEF-A84E-07AE7C85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2026-03-25T00:05:00Z</dcterms:created>
  <dcterms:modified xsi:type="dcterms:W3CDTF">2026-03-25T00:05:00Z</dcterms:modified>
</cp:coreProperties>
</file>