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E9E5" w14:textId="77777777" w:rsidR="00894204" w:rsidRDefault="00894204" w:rsidP="00DB64CF">
      <w:pPr>
        <w:rPr>
          <w:rFonts w:ascii="Arial" w:hAnsi="Arial" w:cs="Arial"/>
          <w:sz w:val="26"/>
          <w:szCs w:val="26"/>
        </w:rPr>
        <w:sectPr w:rsidR="00894204" w:rsidSect="00534F97">
          <w:footerReference w:type="default" r:id="rId8"/>
          <w:pgSz w:w="23811" w:h="16838" w:orient="landscape" w:code="8"/>
          <w:pgMar w:top="288" w:right="720" w:bottom="720" w:left="720" w:header="288" w:footer="432" w:gutter="0"/>
          <w:cols w:space="708"/>
          <w:docGrid w:linePitch="360"/>
        </w:sectPr>
      </w:pPr>
    </w:p>
    <w:p w14:paraId="1DB84E2D" w14:textId="7F9D82EE" w:rsidR="00DB64CF" w:rsidRPr="00DB64CF" w:rsidRDefault="00894204" w:rsidP="00DB64C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8B4E14A" wp14:editId="58E42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1379665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65610" name="Picture 13796656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F9189" w14:textId="77777777" w:rsidR="00894204" w:rsidRDefault="00894204" w:rsidP="0089420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5840B7AE" w14:textId="14E65370" w:rsidR="00894204" w:rsidRPr="00894204" w:rsidRDefault="00894204" w:rsidP="00894204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br/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assessment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– </w:t>
      </w:r>
      <w:r w:rsidRPr="00DB64CF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Financing for </w:t>
      </w:r>
      <w:r w:rsidR="0021626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b</w:t>
      </w:r>
      <w:r w:rsidRPr="00DB64CF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ody </w:t>
      </w:r>
      <w:r w:rsidR="0021626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</w:t>
      </w:r>
      <w:r w:rsidRPr="00DB64CF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orporate or </w:t>
      </w:r>
      <w:r w:rsidR="0021626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l</w:t>
      </w:r>
      <w:r w:rsidRPr="00DB64CF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egal </w:t>
      </w:r>
      <w:r w:rsidR="0021626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a</w:t>
      </w:r>
      <w:r w:rsidRPr="00DB64CF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rrangement</w:t>
      </w:r>
    </w:p>
    <w:p w14:paraId="5F90084B" w14:textId="56215C70" w:rsidR="00080B4C" w:rsidRPr="00894204" w:rsidRDefault="00894204" w:rsidP="00044674">
      <w:pPr>
        <w:rPr>
          <w:rFonts w:ascii="Arial" w:hAnsi="Arial" w:cs="Arial"/>
        </w:rPr>
      </w:pPr>
      <w:r w:rsidRPr="00894204">
        <w:rPr>
          <w:rFonts w:ascii="Arial" w:hAnsi="Arial" w:cs="Arial"/>
        </w:rPr>
        <w:t xml:space="preserve">The following are </w:t>
      </w:r>
      <w:r w:rsidRPr="00894204">
        <w:rPr>
          <w:rFonts w:ascii="Arial" w:hAnsi="Arial" w:cs="Arial"/>
          <w:b/>
          <w:bCs/>
        </w:rPr>
        <w:t>illustrative examples</w:t>
      </w:r>
      <w:r w:rsidRPr="00894204">
        <w:rPr>
          <w:rFonts w:ascii="Arial" w:hAnsi="Arial" w:cs="Arial"/>
        </w:rPr>
        <w:t xml:space="preserve"> of how to assess client risks to determine what level of due diligence to apply. These examples are based on </w:t>
      </w:r>
      <w:hyperlink r:id="rId10" w:history="1">
        <w:r w:rsidRPr="00894204">
          <w:rPr>
            <w:rStyle w:val="Hyperlink"/>
            <w:rFonts w:ascii="Arial" w:hAnsi="Arial" w:cs="Arial"/>
          </w:rPr>
          <w:t>AUSTRAC guidance</w:t>
        </w:r>
      </w:hyperlink>
      <w:r w:rsidRPr="00894204">
        <w:rPr>
          <w:rFonts w:ascii="Arial" w:hAnsi="Arial" w:cs="Arial"/>
        </w:rPr>
        <w:t xml:space="preserve"> and established ML/TF </w:t>
      </w:r>
      <w:r>
        <w:rPr>
          <w:rFonts w:ascii="Arial" w:hAnsi="Arial" w:cs="Arial"/>
        </w:rPr>
        <w:br/>
      </w:r>
      <w:r w:rsidRPr="00894204">
        <w:rPr>
          <w:rFonts w:ascii="Arial" w:hAnsi="Arial" w:cs="Arial"/>
        </w:rPr>
        <w:t xml:space="preserve">risk factors associated with assisting in organising, planning or executing a transaction for equity or debt financing relating to a body corporate or legal arrangement. They are </w:t>
      </w:r>
      <w:r w:rsidRPr="00894204">
        <w:rPr>
          <w:rFonts w:ascii="Arial" w:hAnsi="Arial" w:cs="Arial"/>
          <w:b/>
          <w:bCs/>
        </w:rPr>
        <w:t>not exhaustive</w:t>
      </w:r>
      <w:r w:rsidRPr="00894204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page" w:tblpX="319" w:tblpY="47"/>
        <w:tblW w:w="7830" w:type="dxa"/>
        <w:tblLook w:val="04A0" w:firstRow="1" w:lastRow="0" w:firstColumn="1" w:lastColumn="0" w:noHBand="0" w:noVBand="1"/>
      </w:tblPr>
      <w:tblGrid>
        <w:gridCol w:w="1440"/>
        <w:gridCol w:w="1800"/>
        <w:gridCol w:w="1897"/>
        <w:gridCol w:w="2693"/>
      </w:tblGrid>
      <w:tr w:rsidR="00A11FEF" w:rsidRPr="00453C15" w14:paraId="0DB35C0F" w14:textId="77777777" w:rsidTr="00A11FEF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80E" w14:textId="40FF97F9" w:rsidR="00A11FEF" w:rsidRPr="00894204" w:rsidRDefault="00A11FEF" w:rsidP="00894204">
            <w:pPr>
              <w:spacing w:before="3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1D63835E" w14:textId="28760992" w:rsidR="00A11FEF" w:rsidRPr="00894204" w:rsidRDefault="00A11FEF" w:rsidP="0089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20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11FEF" w:rsidRPr="00453C15" w14:paraId="22C6573E" w14:textId="77777777" w:rsidTr="009F500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1858" w14:textId="77777777" w:rsidR="00A11FEF" w:rsidRPr="00453C15" w:rsidRDefault="00A11FEF" w:rsidP="00A11FE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508966C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57F9EC1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BFA0CB5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9F5001" w:rsidRPr="00453C15" w14:paraId="6A1EE8C5" w14:textId="77777777" w:rsidTr="009F5001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DB70C" w14:textId="77777777" w:rsidR="009F5001" w:rsidRPr="00A62425" w:rsidRDefault="009F5001" w:rsidP="009F5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C28C07" w14:textId="631B9D51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Standard equity or debt raising with clear commercial rationale</w:t>
            </w:r>
          </w:p>
        </w:tc>
        <w:tc>
          <w:tcPr>
            <w:tcW w:w="1897" w:type="dxa"/>
          </w:tcPr>
          <w:p w14:paraId="33EE92BE" w14:textId="356F1E05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More complex capital raising with several investor groups or instruments</w:t>
            </w:r>
          </w:p>
        </w:tc>
        <w:tc>
          <w:tcPr>
            <w:tcW w:w="2693" w:type="dxa"/>
          </w:tcPr>
          <w:p w14:paraId="6E3E6112" w14:textId="1170E689" w:rsidR="009F5001" w:rsidRPr="009F5001" w:rsidRDefault="009F5001" w:rsidP="009F500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Complex or highly structure</w:t>
            </w:r>
            <w:r w:rsidR="00B8002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</w:t>
            </w:r>
            <w:r w:rsidRPr="009F500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financing with layered instruments, intercompany loans or Special Purpose Vehicles that obscure true exposure (e.g. offshore shell companies, investment vehicles, project companies)</w:t>
            </w:r>
          </w:p>
        </w:tc>
      </w:tr>
      <w:tr w:rsidR="004D7D7E" w:rsidRPr="00453C15" w14:paraId="454ED058" w14:textId="77777777" w:rsidTr="009F5001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C9DF" w14:textId="16A5BE42" w:rsidR="004D7D7E" w:rsidRPr="00A62425" w:rsidRDefault="004D7D7E" w:rsidP="004D7D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Transaction value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45156F8" w14:textId="642CA648" w:rsidR="004D7D7E" w:rsidRPr="001C546A" w:rsidRDefault="004D7D7E" w:rsidP="00583E5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Consistent with client profile and market norms</w:t>
            </w:r>
          </w:p>
        </w:tc>
        <w:tc>
          <w:tcPr>
            <w:tcW w:w="1897" w:type="dxa"/>
          </w:tcPr>
          <w:p w14:paraId="3F820B3C" w14:textId="12ABB96A" w:rsidR="004D7D7E" w:rsidRPr="001C546A" w:rsidRDefault="001E6FBD" w:rsidP="00583E5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Higher value, partially third-party funded or somewhat inconsistent with client profile </w:t>
            </w:r>
          </w:p>
        </w:tc>
        <w:tc>
          <w:tcPr>
            <w:tcW w:w="2693" w:type="dxa"/>
          </w:tcPr>
          <w:p w14:paraId="7AF5DDE7" w14:textId="02DF6762" w:rsidR="004D7D7E" w:rsidRPr="001C546A" w:rsidRDefault="009733EC" w:rsidP="00583E5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Disproportionate to </w:t>
            </w:r>
            <w:r w:rsidR="0050289B"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client 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profile</w:t>
            </w:r>
            <w:r w:rsidR="0050289B"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or market norms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, unusual funding pattern or unclear commercial rationale</w:t>
            </w:r>
          </w:p>
        </w:tc>
      </w:tr>
      <w:tr w:rsidR="009F5001" w:rsidRPr="00453C15" w14:paraId="08447C9A" w14:textId="77777777" w:rsidTr="009F5001">
        <w:trPr>
          <w:trHeight w:val="26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8952" w14:textId="73B1EEA6" w:rsidR="009F5001" w:rsidRPr="00A62425" w:rsidRDefault="009F5001" w:rsidP="009F5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5001">
              <w:rPr>
                <w:rFonts w:ascii="Arial" w:hAnsi="Arial" w:cs="Arial"/>
                <w:b/>
                <w:bCs/>
                <w:sz w:val="18"/>
                <w:szCs w:val="18"/>
              </w:rPr>
              <w:t>Complexity or concerns in distribution of funds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B7C239B" w14:textId="084CAE92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 xml:space="preserve">Finance distributed directly to issuing entity or beneficiaries in line with documented capital structure, with transparent recipients and/or is consistent with commercial rationale </w:t>
            </w:r>
          </w:p>
        </w:tc>
        <w:tc>
          <w:tcPr>
            <w:tcW w:w="1897" w:type="dxa"/>
          </w:tcPr>
          <w:p w14:paraId="79C67EB4" w14:textId="4F8DCB9B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 xml:space="preserve">Finance distributed through group entities, nominee or staged arrangements that are commercially explainable but require reconciliation against financing documents  </w:t>
            </w:r>
          </w:p>
        </w:tc>
        <w:tc>
          <w:tcPr>
            <w:tcW w:w="2693" w:type="dxa"/>
          </w:tcPr>
          <w:p w14:paraId="0E450103" w14:textId="6B288F30" w:rsidR="009F5001" w:rsidRPr="009F5001" w:rsidRDefault="009F5001" w:rsidP="009F500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 xml:space="preserve">Finance distributed through layered or offshore pathways, or related parties that obscure the ultimate recipient and/or inconsistent with the stated capital structure or purpose </w:t>
            </w:r>
          </w:p>
        </w:tc>
      </w:tr>
      <w:tr w:rsidR="009F5001" w:rsidRPr="00453C15" w14:paraId="5534E30A" w14:textId="77777777" w:rsidTr="001C546A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CF60" w14:textId="3138D26F" w:rsidR="009F5001" w:rsidRPr="00A62425" w:rsidRDefault="009F5001" w:rsidP="009F5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1B36632" w14:textId="6BEDBB99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 xml:space="preserve">Limited use of trust account with a clear allocation of funds </w:t>
            </w:r>
          </w:p>
          <w:p w14:paraId="575C6EE4" w14:textId="14714C9D" w:rsidR="009F5001" w:rsidRPr="009F5001" w:rsidRDefault="009F5001" w:rsidP="009F5001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897" w:type="dxa"/>
          </w:tcPr>
          <w:p w14:paraId="5B64D1C2" w14:textId="0D5FD358" w:rsidR="009F5001" w:rsidRPr="009F5001" w:rsidRDefault="009F5001" w:rsidP="009F5001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>Moderate</w:t>
            </w:r>
            <w:r w:rsidR="00FD6AE2">
              <w:rPr>
                <w:rFonts w:asciiTheme="majorHAnsi" w:hAnsiTheme="majorHAnsi" w:cs="Arial"/>
                <w:sz w:val="18"/>
                <w:szCs w:val="18"/>
              </w:rPr>
              <w:t xml:space="preserve"> use of</w:t>
            </w:r>
            <w:r w:rsidRPr="009F5001">
              <w:rPr>
                <w:rFonts w:asciiTheme="majorHAnsi" w:hAnsiTheme="majorHAnsi" w:cs="Arial"/>
                <w:sz w:val="18"/>
                <w:szCs w:val="18"/>
              </w:rPr>
              <w:t xml:space="preserve"> trust account requiring reconciliation against subscription or loan documents</w:t>
            </w:r>
          </w:p>
        </w:tc>
        <w:tc>
          <w:tcPr>
            <w:tcW w:w="2693" w:type="dxa"/>
          </w:tcPr>
          <w:p w14:paraId="45CFEFF2" w14:textId="303B9DB4" w:rsidR="009F5001" w:rsidRPr="009F5001" w:rsidRDefault="009F5001" w:rsidP="00975368">
            <w:pPr>
              <w:spacing w:before="100" w:beforeAutospacing="1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9F5001">
              <w:rPr>
                <w:rFonts w:asciiTheme="majorHAnsi" w:hAnsiTheme="majorHAnsi" w:cs="Arial"/>
                <w:sz w:val="18"/>
                <w:szCs w:val="18"/>
              </w:rPr>
              <w:t>Significant or unusual trust flows not clearly tied to documented financing steps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6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890"/>
      </w:tblGrid>
      <w:tr w:rsidR="00894204" w:rsidRPr="00453C15" w14:paraId="3F7D9AD6" w14:textId="77777777" w:rsidTr="00363764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43A6" w14:textId="7A1DC7D9" w:rsidR="00894204" w:rsidRPr="00894204" w:rsidRDefault="00894204" w:rsidP="00363764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C71CA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3D213F13" w14:textId="77777777" w:rsidR="00894204" w:rsidRPr="00894204" w:rsidRDefault="00894204" w:rsidP="003637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20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894204" w:rsidRPr="00453C15" w14:paraId="1EE4E38B" w14:textId="77777777" w:rsidTr="00363764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9E2E7" w14:textId="77777777" w:rsidR="00894204" w:rsidRPr="00F24907" w:rsidRDefault="00894204" w:rsidP="003637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2072859F" w14:textId="77777777" w:rsidR="00894204" w:rsidRPr="00C15EAA" w:rsidRDefault="00894204" w:rsidP="003637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647CE619" w14:textId="77777777" w:rsidR="00894204" w:rsidRPr="00C15EAA" w:rsidRDefault="00894204" w:rsidP="003637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269435E9" w14:textId="77777777" w:rsidR="00894204" w:rsidRPr="00C15EAA" w:rsidRDefault="00894204" w:rsidP="003637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894204" w:rsidRPr="00453C15" w14:paraId="40BCB42F" w14:textId="77777777" w:rsidTr="00363764">
        <w:trPr>
          <w:trHeight w:val="20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A124E" w14:textId="6388B848" w:rsidR="00894204" w:rsidRPr="00A62425" w:rsidRDefault="0089420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C71CA5"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D9D06C4" w14:textId="54622957" w:rsidR="00894204" w:rsidRPr="00F53A0C" w:rsidRDefault="00894204" w:rsidP="00363764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D23F76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D23F76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 identity, verified business history and stable corporate profile</w:t>
            </w:r>
          </w:p>
        </w:tc>
        <w:tc>
          <w:tcPr>
            <w:tcW w:w="1980" w:type="dxa"/>
          </w:tcPr>
          <w:p w14:paraId="5C194B2B" w14:textId="1189FEBC" w:rsidR="00894204" w:rsidRPr="00F53A0C" w:rsidRDefault="00894204" w:rsidP="00363764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</w:tcPr>
          <w:p w14:paraId="516592C7" w14:textId="75FE3DF9" w:rsidR="00894204" w:rsidRPr="00F53A0C" w:rsidRDefault="00894204" w:rsidP="00363764">
            <w:pPr>
              <w:rPr>
                <w:rFonts w:asciiTheme="majorHAnsi" w:hAnsiTheme="majorHAnsi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Client has notable gaps or concerns in their identity and/or history, or is an entity with unclear trading history, frequent deregistration or repeated restructures prior to financing</w:t>
            </w:r>
          </w:p>
        </w:tc>
      </w:tr>
      <w:tr w:rsidR="00894204" w:rsidRPr="00453C15" w14:paraId="09CAED8E" w14:textId="77777777" w:rsidTr="001C546A">
        <w:trPr>
          <w:trHeight w:val="28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94B63" w14:textId="4BD4FE18" w:rsidR="00894204" w:rsidRPr="00A62425" w:rsidRDefault="0089420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6ADE669" w14:textId="4524B9D5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Individual, partnership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686D34FD" w14:textId="0C49104C" w:rsidR="00894204" w:rsidRPr="00F53A0C" w:rsidRDefault="00894204" w:rsidP="003335E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61440D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) and control can be established with a degree of certainty, or agent acting on behalf of a third-party entity overseas </w:t>
            </w:r>
          </w:p>
          <w:p w14:paraId="4096CEDD" w14:textId="77777777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748ABEE9" w14:textId="77777777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894204" w:rsidRPr="00453C15" w14:paraId="58A7A162" w14:textId="77777777" w:rsidTr="001C546A">
        <w:trPr>
          <w:trHeight w:val="17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80C45" w14:textId="7F3E6189" w:rsidR="00894204" w:rsidRPr="00A62425" w:rsidRDefault="0089420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1C546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4CB88EF" w14:textId="77777777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1F5118CF" w14:textId="1730B3AB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 or linked to low-risk 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2F5378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="00026989" w:rsidRPr="00771945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 jurisdiction</w:t>
            </w:r>
          </w:p>
        </w:tc>
        <w:tc>
          <w:tcPr>
            <w:tcW w:w="1890" w:type="dxa"/>
          </w:tcPr>
          <w:p w14:paraId="05318AD4" w14:textId="0571EDD5" w:rsidR="00894204" w:rsidRPr="00F53A0C" w:rsidRDefault="00894204" w:rsidP="003335E5">
            <w:pPr>
              <w:spacing w:before="60"/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894204" w:rsidRPr="00453C15" w14:paraId="0A5E8F20" w14:textId="77777777" w:rsidTr="001C546A">
        <w:trPr>
          <w:trHeight w:val="13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7198C" w14:textId="77777777" w:rsidR="00894204" w:rsidRPr="00A62425" w:rsidRDefault="0089420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9CBEDC0" w14:textId="7EBDC0EB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Responsive and transparent about financing purpose and participants</w:t>
            </w:r>
          </w:p>
        </w:tc>
        <w:tc>
          <w:tcPr>
            <w:tcW w:w="1980" w:type="dxa"/>
          </w:tcPr>
          <w:p w14:paraId="6F6C82B7" w14:textId="509EEE95" w:rsidR="00894204" w:rsidRPr="00F53A0C" w:rsidRDefault="00894204" w:rsidP="003335E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Incomplete documentation and some reluctance or delay in providing details of investors or lenders</w:t>
            </w:r>
          </w:p>
        </w:tc>
        <w:tc>
          <w:tcPr>
            <w:tcW w:w="1890" w:type="dxa"/>
          </w:tcPr>
          <w:p w14:paraId="30DF8784" w14:textId="77777777" w:rsidR="00894204" w:rsidRPr="00F53A0C" w:rsidRDefault="00894204" w:rsidP="003335E5">
            <w:pPr>
              <w:spacing w:before="60"/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Evasive or unwilling to provide information, identify all investors, lenders or controllers, applies pressure to rush and/or makes concerning enquiries </w:t>
            </w:r>
          </w:p>
        </w:tc>
      </w:tr>
      <w:tr w:rsidR="00894204" w:rsidRPr="00453C15" w14:paraId="7CB181FC" w14:textId="77777777" w:rsidTr="001C546A">
        <w:trPr>
          <w:trHeight w:val="17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56CA1" w14:textId="7C33A3AA" w:rsidR="00894204" w:rsidRPr="00A62425" w:rsidRDefault="0089420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D454A8F" w14:textId="5385AE60" w:rsidR="00894204" w:rsidRPr="00F53A0C" w:rsidRDefault="00894204" w:rsidP="003335E5">
            <w:pPr>
              <w:spacing w:before="120"/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No Politically Exposed Person (PEP) or their close family/associate involved</w:t>
            </w:r>
          </w:p>
        </w:tc>
        <w:tc>
          <w:tcPr>
            <w:tcW w:w="1980" w:type="dxa"/>
          </w:tcPr>
          <w:p w14:paraId="564A2345" w14:textId="0F6B0D5E" w:rsidR="00894204" w:rsidRPr="00F53A0C" w:rsidRDefault="00894204" w:rsidP="003335E5">
            <w:pPr>
              <w:spacing w:before="120"/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PEP involved who has held senior role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7537E74E" w14:textId="51D55287" w:rsidR="00894204" w:rsidRPr="00F53A0C" w:rsidRDefault="00894204" w:rsidP="003335E5">
            <w:pPr>
              <w:spacing w:before="120"/>
              <w:rPr>
                <w:rFonts w:asciiTheme="majorHAnsi" w:hAnsiTheme="majorHAnsi" w:cs="Arial"/>
                <w:sz w:val="16"/>
                <w:szCs w:val="16"/>
              </w:rPr>
            </w:pPr>
            <w:r w:rsidRPr="00F53A0C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026989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F53A0C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85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363764" w:rsidRPr="00453C15" w14:paraId="1F0AC2BD" w14:textId="77777777" w:rsidTr="00363764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38BF" w14:textId="7FCBDB6F" w:rsidR="00363764" w:rsidRPr="00894204" w:rsidRDefault="00363764" w:rsidP="00363764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C71CA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01F7EB4E" w14:textId="77777777" w:rsidR="00363764" w:rsidRPr="00894204" w:rsidRDefault="00363764" w:rsidP="003637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420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363764" w:rsidRPr="00453C15" w14:paraId="552764CD" w14:textId="77777777" w:rsidTr="00363764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DD975D" w14:textId="77777777" w:rsidR="00363764" w:rsidRPr="00453C15" w:rsidRDefault="00363764" w:rsidP="00363764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2204BF4D" w14:textId="77777777" w:rsidR="00363764" w:rsidRPr="00C15EAA" w:rsidRDefault="00363764" w:rsidP="003637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2B2BB1D5" w14:textId="77777777" w:rsidR="00363764" w:rsidRPr="00C15EAA" w:rsidRDefault="00363764" w:rsidP="003637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6520F72" w14:textId="77777777" w:rsidR="00363764" w:rsidRPr="00C15EAA" w:rsidRDefault="00363764" w:rsidP="003637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363764" w:rsidRPr="00453C15" w14:paraId="07E79B2C" w14:textId="77777777" w:rsidTr="00363764">
        <w:trPr>
          <w:trHeight w:val="22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2E4E3" w14:textId="77777777" w:rsidR="00363764" w:rsidRPr="00A62425" w:rsidRDefault="0036376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E23BF30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All parties to the real estate transaction reside or are registered in Australia</w:t>
            </w:r>
          </w:p>
          <w:p w14:paraId="3C6A95C4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</w:p>
        </w:tc>
        <w:tc>
          <w:tcPr>
            <w:tcW w:w="1588" w:type="dxa"/>
          </w:tcPr>
          <w:p w14:paraId="60004775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There are parties to the real estate transaction who reside, are registered in or are linked to a low-risk FATF jurisdiction</w:t>
            </w:r>
          </w:p>
          <w:p w14:paraId="05C249BF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</w:p>
        </w:tc>
        <w:tc>
          <w:tcPr>
            <w:tcW w:w="2488" w:type="dxa"/>
          </w:tcPr>
          <w:p w14:paraId="05AAE388" w14:textId="146A5F5A" w:rsidR="00363764" w:rsidRPr="001C546A" w:rsidRDefault="00363764" w:rsidP="00AC390B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 xml:space="preserve">There are parties to the real estate transaction who reside or are registered in a high-risk FATF jurisdiction (black and grey lists), known conflict zones, secrecy havens or sanctioned region, involvement of known terrorist organisations, or foreign entities/individuals with adverse media (e.g. criminal allegations) </w:t>
            </w:r>
          </w:p>
        </w:tc>
      </w:tr>
      <w:tr w:rsidR="00363764" w:rsidRPr="00453C15" w14:paraId="608BBE25" w14:textId="77777777" w:rsidTr="00363764">
        <w:trPr>
          <w:trHeight w:val="14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89464" w14:textId="77777777" w:rsidR="00363764" w:rsidRPr="00A62425" w:rsidRDefault="0036376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A19D04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Funds originate solely from domestic Australian sources or financial institutions</w:t>
            </w:r>
          </w:p>
        </w:tc>
        <w:tc>
          <w:tcPr>
            <w:tcW w:w="1588" w:type="dxa"/>
          </w:tcPr>
          <w:p w14:paraId="67117060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Funds originate from regulated institutions in low-risk FATF jurisdictions</w:t>
            </w:r>
          </w:p>
        </w:tc>
        <w:tc>
          <w:tcPr>
            <w:tcW w:w="2488" w:type="dxa"/>
          </w:tcPr>
          <w:p w14:paraId="23110F7C" w14:textId="48CB803B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Funds originate from high-risk FATF jurisdictions (black and grey list),</w:t>
            </w:r>
            <w:r w:rsidRPr="001C546A"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C546A">
              <w:rPr>
                <w:rFonts w:asciiTheme="majorHAnsi" w:hAnsiTheme="majorHAnsi" w:cs="Arial"/>
                <w:sz w:val="17"/>
                <w:szCs w:val="17"/>
              </w:rPr>
              <w:t>unregulated or opaque foreign sources, known conflict zones, secrecy havens or sanctioned region</w:t>
            </w:r>
            <w:r w:rsidR="00AC390B" w:rsidRPr="001C546A">
              <w:rPr>
                <w:rFonts w:asciiTheme="majorHAnsi" w:hAnsiTheme="majorHAnsi" w:cs="Arial"/>
                <w:sz w:val="17"/>
                <w:szCs w:val="17"/>
              </w:rPr>
              <w:t>s</w:t>
            </w:r>
          </w:p>
        </w:tc>
      </w:tr>
      <w:tr w:rsidR="00363764" w:rsidRPr="00453C15" w14:paraId="3D7E1DC9" w14:textId="77777777" w:rsidTr="001C546A">
        <w:trPr>
          <w:trHeight w:val="91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A70D3" w14:textId="77777777" w:rsidR="00363764" w:rsidRPr="00A62425" w:rsidRDefault="0036376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Location of property or assets involved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67973142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 xml:space="preserve">Property is in Australia, with no foreign component or ownership ties </w:t>
            </w:r>
          </w:p>
        </w:tc>
        <w:tc>
          <w:tcPr>
            <w:tcW w:w="1588" w:type="dxa"/>
          </w:tcPr>
          <w:p w14:paraId="2E498C51" w14:textId="7777777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 xml:space="preserve">Property or asset is based in or has ties to a low-risk FATF jurisdiction  </w:t>
            </w:r>
          </w:p>
        </w:tc>
        <w:tc>
          <w:tcPr>
            <w:tcW w:w="2488" w:type="dxa"/>
          </w:tcPr>
          <w:p w14:paraId="5698C303" w14:textId="225D9D47" w:rsidR="00363764" w:rsidRPr="001C546A" w:rsidRDefault="00363764" w:rsidP="00363764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Property or asset is based in or has ties to a high-risk FATF jurisdiction, known conflict zones, secrecy havens or sanctioned region</w:t>
            </w:r>
            <w:r w:rsidR="00AC390B" w:rsidRPr="001C546A">
              <w:rPr>
                <w:rFonts w:asciiTheme="majorHAnsi" w:hAnsiTheme="majorHAnsi" w:cs="Arial"/>
                <w:sz w:val="17"/>
                <w:szCs w:val="17"/>
              </w:rPr>
              <w:t>s</w:t>
            </w:r>
          </w:p>
        </w:tc>
      </w:tr>
      <w:tr w:rsidR="00363764" w:rsidRPr="00453C15" w14:paraId="16889204" w14:textId="77777777" w:rsidTr="00363764">
        <w:trPr>
          <w:trHeight w:val="17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97DBD" w14:textId="77777777" w:rsidR="00363764" w:rsidRPr="00A62425" w:rsidRDefault="00363764" w:rsidP="003637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60698DB4" w14:textId="77777777" w:rsidR="00363764" w:rsidRPr="001C546A" w:rsidRDefault="00363764" w:rsidP="00363764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C6E2E9F" w14:textId="77777777" w:rsidR="00363764" w:rsidRPr="001C546A" w:rsidRDefault="00363764" w:rsidP="00363764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39FF69BF" w14:textId="5B6A0DBD" w:rsidR="00363764" w:rsidRPr="001C546A" w:rsidRDefault="00363764" w:rsidP="00363764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1C546A">
              <w:rPr>
                <w:rFonts w:asciiTheme="majorHAnsi" w:hAnsiTheme="majorHAnsi" w:cs="Arial"/>
                <w:sz w:val="17"/>
                <w:szCs w:val="17"/>
              </w:rPr>
              <w:t>Multiple cross-border elements involving or exposure to high-risk FATF jurisdictions, known conflict zones, secrecy havens, sanctioned region</w:t>
            </w:r>
            <w:r w:rsidR="00AC390B" w:rsidRPr="001C546A">
              <w:rPr>
                <w:rFonts w:asciiTheme="majorHAnsi" w:hAnsiTheme="majorHAnsi" w:cs="Arial"/>
                <w:sz w:val="17"/>
                <w:szCs w:val="17"/>
              </w:rPr>
              <w:t>s</w:t>
            </w:r>
            <w:r w:rsidRPr="001C546A">
              <w:rPr>
                <w:rFonts w:asciiTheme="majorHAnsi" w:hAnsiTheme="majorHAnsi" w:cs="Arial"/>
                <w:sz w:val="17"/>
                <w:szCs w:val="17"/>
              </w:rPr>
              <w:t xml:space="preserve"> or legitimate connection to any of the parties involved in the transaction  </w:t>
            </w:r>
          </w:p>
        </w:tc>
      </w:tr>
    </w:tbl>
    <w:p w14:paraId="4565E303" w14:textId="5DD0EB55" w:rsidR="00385BD3" w:rsidRPr="00453C15" w:rsidRDefault="00385BD3" w:rsidP="00894204">
      <w:pPr>
        <w:tabs>
          <w:tab w:val="left" w:pos="1287"/>
        </w:tabs>
        <w:rPr>
          <w:rFonts w:ascii="Arial" w:hAnsi="Arial" w:cs="Arial"/>
          <w:sz w:val="26"/>
          <w:szCs w:val="26"/>
        </w:rPr>
      </w:pPr>
    </w:p>
    <w:p w14:paraId="209B0F9C" w14:textId="50AB6DBC" w:rsidR="00450934" w:rsidRPr="00A62425" w:rsidRDefault="00A62425" w:rsidP="00D211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 </w:t>
      </w:r>
    </w:p>
    <w:tbl>
      <w:tblPr>
        <w:tblStyle w:val="TableGrid"/>
        <w:tblpPr w:leftFromText="180" w:rightFromText="180" w:vertAnchor="text" w:horzAnchor="margin" w:tblpXSpec="right" w:tblpY="25"/>
        <w:tblW w:w="7380" w:type="dxa"/>
        <w:tblLook w:val="04A0" w:firstRow="1" w:lastRow="0" w:firstColumn="1" w:lastColumn="0" w:noHBand="0" w:noVBand="1"/>
      </w:tblPr>
      <w:tblGrid>
        <w:gridCol w:w="1350"/>
        <w:gridCol w:w="1716"/>
        <w:gridCol w:w="1981"/>
        <w:gridCol w:w="2333"/>
      </w:tblGrid>
      <w:tr w:rsidR="00894204" w:rsidRPr="006C1510" w14:paraId="286DF28E" w14:textId="77777777" w:rsidTr="00894204">
        <w:trPr>
          <w:trHeight w:val="33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C944" w14:textId="77777777" w:rsidR="00894204" w:rsidRPr="006C1510" w:rsidRDefault="00894204" w:rsidP="0089420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42678" w14:textId="77777777" w:rsidR="00894204" w:rsidRPr="00894204" w:rsidRDefault="00894204" w:rsidP="00894204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942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0994B199" w14:textId="77777777" w:rsidR="00894204" w:rsidRPr="00894204" w:rsidRDefault="00894204" w:rsidP="0089420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9420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894204" w:rsidRPr="006C1510" w14:paraId="1B1E0B48" w14:textId="77777777" w:rsidTr="00894204">
        <w:trPr>
          <w:trHeight w:val="339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FEFF5D" w14:textId="77777777" w:rsidR="00894204" w:rsidRPr="006C1510" w:rsidRDefault="00894204" w:rsidP="0089420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7D975B16" w14:textId="77777777" w:rsidR="00894204" w:rsidRPr="001C546A" w:rsidRDefault="00894204" w:rsidP="008942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54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8E660F" w14:textId="77777777" w:rsidR="00894204" w:rsidRPr="001C546A" w:rsidRDefault="00894204" w:rsidP="008942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54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BEE2C16" w14:textId="77777777" w:rsidR="00894204" w:rsidRPr="001C546A" w:rsidRDefault="00894204" w:rsidP="0089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894204" w:rsidRPr="006C1510" w14:paraId="0CA3085C" w14:textId="77777777" w:rsidTr="00894204">
        <w:trPr>
          <w:trHeight w:val="14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380FA" w14:textId="77777777" w:rsidR="00894204" w:rsidRPr="0037394D" w:rsidRDefault="00894204" w:rsidP="008942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1D97DD06" w14:textId="65A0217B" w:rsidR="00894204" w:rsidRPr="001C546A" w:rsidRDefault="00894204" w:rsidP="00894204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In</w:t>
            </w:r>
            <w:r w:rsidRPr="001C546A">
              <w:rPr>
                <w:rFonts w:ascii="Cambria Math" w:hAnsi="Cambria Math" w:cs="Cambria Math"/>
                <w:color w:val="000000" w:themeColor="text1"/>
                <w:sz w:val="18"/>
                <w:szCs w:val="18"/>
              </w:rPr>
              <w:t>‑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person engagement with key decision</w:t>
            </w:r>
            <w:r w:rsidR="00AC390B" w:rsidRPr="001C546A">
              <w:rPr>
                <w:rFonts w:asciiTheme="majorHAnsi" w:hAnsiTheme="majorHAnsi" w:cs="Cambria Math"/>
                <w:color w:val="000000" w:themeColor="text1"/>
                <w:sz w:val="18"/>
                <w:szCs w:val="18"/>
              </w:rPr>
              <w:t xml:space="preserve"> 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makers and/or secure</w:t>
            </w:r>
            <w:r w:rsidRPr="001C546A">
              <w:rPr>
                <w:rFonts w:asciiTheme="majorHAnsi" w:hAnsiTheme="majorHAnsi"/>
              </w:rPr>
              <w:t xml:space="preserve"> 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traceable channels, with all parties verified</w:t>
            </w:r>
          </w:p>
        </w:tc>
        <w:tc>
          <w:tcPr>
            <w:tcW w:w="1981" w:type="dxa"/>
          </w:tcPr>
          <w:p w14:paraId="6606FFBA" w14:textId="4B3155DB" w:rsidR="00894204" w:rsidRPr="001C546A" w:rsidRDefault="00894204" w:rsidP="00894204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Hybrid remote and in</w:t>
            </w:r>
            <w:r w:rsidRPr="001C546A">
              <w:rPr>
                <w:rFonts w:ascii="Cambria Math" w:hAnsi="Cambria Math" w:cs="Cambria Math"/>
                <w:color w:val="000000" w:themeColor="text1"/>
                <w:sz w:val="18"/>
                <w:szCs w:val="18"/>
              </w:rPr>
              <w:t>‑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person contact, with some verification challenges (e.g. email, phone, </w:t>
            </w:r>
            <w:r w:rsidR="00F65B4E"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333" w:type="dxa"/>
          </w:tcPr>
          <w:p w14:paraId="358D6687" w14:textId="3EB79B29" w:rsidR="00894204" w:rsidRPr="001C546A" w:rsidRDefault="00894204" w:rsidP="00894204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1C546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Fully remote financing arrangements with no direct verification of key parties or opaque channels (e.g. encrypted platforms, intermediaries)</w:t>
            </w:r>
          </w:p>
        </w:tc>
      </w:tr>
      <w:tr w:rsidR="00894204" w:rsidRPr="006C1510" w14:paraId="25D1321C" w14:textId="77777777" w:rsidTr="00894204">
        <w:trPr>
          <w:trHeight w:val="8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778E" w14:textId="24C83D40" w:rsidR="00894204" w:rsidRPr="0037394D" w:rsidRDefault="00894204" w:rsidP="008942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C71CA5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739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894204" w:rsidRPr="001C546A" w14:paraId="515C923C" w14:textId="77777777" w:rsidTr="00A81C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EB5D07" w14:textId="77777777" w:rsidR="00894204" w:rsidRPr="001C546A" w:rsidRDefault="00894204" w:rsidP="00003666">
                  <w:pPr>
                    <w:framePr w:hSpace="180" w:wrap="around" w:vAnchor="text" w:hAnchor="margin" w:xAlign="right" w:y="25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1C546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Single regulated institution</w:t>
                  </w:r>
                </w:p>
              </w:tc>
            </w:tr>
          </w:tbl>
          <w:p w14:paraId="6762E694" w14:textId="77777777" w:rsidR="00894204" w:rsidRPr="001C546A" w:rsidRDefault="00894204" w:rsidP="00894204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894204" w:rsidRPr="001C546A" w14:paraId="78D159A3" w14:textId="77777777" w:rsidTr="00A81C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34B35A" w14:textId="77777777" w:rsidR="00894204" w:rsidRPr="001C546A" w:rsidRDefault="00894204" w:rsidP="00003666">
                  <w:pPr>
                    <w:framePr w:hSpace="180" w:wrap="around" w:vAnchor="text" w:hAnchor="margin" w:xAlign="right" w:y="25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1C546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Multiple regulated institutions</w:t>
                  </w:r>
                </w:p>
              </w:tc>
            </w:tr>
          </w:tbl>
          <w:p w14:paraId="1268A92B" w14:textId="77777777" w:rsidR="00894204" w:rsidRPr="001C546A" w:rsidRDefault="00894204" w:rsidP="00894204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894204" w:rsidRPr="001C546A" w14:paraId="1BC78C7A" w14:textId="77777777" w:rsidTr="00A81C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2EA046" w14:textId="77777777" w:rsidR="00894204" w:rsidRPr="001C546A" w:rsidRDefault="00894204" w:rsidP="00003666">
                  <w:pPr>
                    <w:framePr w:hSpace="180" w:wrap="around" w:vAnchor="text" w:hAnchor="margin" w:xAlign="right" w:y="25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1C546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Fragmented payment, unrelated third parties, cash or crypto component</w:t>
                  </w:r>
                </w:p>
              </w:tc>
            </w:tr>
          </w:tbl>
          <w:p w14:paraId="5164DF23" w14:textId="77777777" w:rsidR="00894204" w:rsidRPr="001C546A" w:rsidRDefault="00894204" w:rsidP="00894204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7AC887FA" w14:textId="77777777" w:rsidR="006C1510" w:rsidRDefault="006C1510" w:rsidP="00D21150">
      <w:pPr>
        <w:rPr>
          <w:rFonts w:ascii="Arial" w:hAnsi="Arial" w:cs="Arial"/>
          <w:b/>
          <w:bCs/>
        </w:rPr>
      </w:pPr>
    </w:p>
    <w:p w14:paraId="7689530A" w14:textId="77777777" w:rsidR="006C1510" w:rsidRDefault="006C1510" w:rsidP="00F13E6F">
      <w:pPr>
        <w:jc w:val="both"/>
        <w:rPr>
          <w:rFonts w:ascii="Arial" w:hAnsi="Arial" w:cs="Arial"/>
          <w:b/>
          <w:bCs/>
        </w:rPr>
      </w:pPr>
    </w:p>
    <w:p w14:paraId="0A1E4E2A" w14:textId="77777777" w:rsidR="00894204" w:rsidRPr="00894204" w:rsidRDefault="00894204" w:rsidP="00894204">
      <w:pPr>
        <w:rPr>
          <w:rFonts w:ascii="Arial" w:hAnsi="Arial" w:cs="Arial"/>
        </w:rPr>
      </w:pPr>
    </w:p>
    <w:p w14:paraId="46D6B9F3" w14:textId="77777777" w:rsidR="00894204" w:rsidRPr="00894204" w:rsidRDefault="00894204" w:rsidP="00894204">
      <w:pPr>
        <w:rPr>
          <w:rFonts w:ascii="Arial" w:hAnsi="Arial" w:cs="Arial"/>
        </w:rPr>
      </w:pPr>
    </w:p>
    <w:p w14:paraId="7A1E2FD7" w14:textId="77777777" w:rsidR="00894204" w:rsidRPr="00894204" w:rsidRDefault="00894204" w:rsidP="00894204">
      <w:pPr>
        <w:rPr>
          <w:rFonts w:ascii="Arial" w:hAnsi="Arial" w:cs="Arial"/>
        </w:rPr>
      </w:pPr>
    </w:p>
    <w:p w14:paraId="6BE5AB53" w14:textId="77777777" w:rsidR="00894204" w:rsidRPr="00894204" w:rsidRDefault="00894204" w:rsidP="00894204">
      <w:pPr>
        <w:rPr>
          <w:rFonts w:ascii="Arial" w:hAnsi="Arial" w:cs="Arial"/>
        </w:rPr>
      </w:pPr>
    </w:p>
    <w:p w14:paraId="120F4FE6" w14:textId="77777777" w:rsidR="00894204" w:rsidRPr="00894204" w:rsidRDefault="00894204" w:rsidP="00894204">
      <w:pPr>
        <w:rPr>
          <w:rFonts w:ascii="Arial" w:hAnsi="Arial" w:cs="Arial"/>
        </w:rPr>
      </w:pPr>
    </w:p>
    <w:p w14:paraId="6A9F6B69" w14:textId="77777777" w:rsidR="00894204" w:rsidRPr="00894204" w:rsidRDefault="00894204" w:rsidP="00894204">
      <w:pPr>
        <w:rPr>
          <w:rFonts w:ascii="Arial" w:hAnsi="Arial" w:cs="Arial"/>
        </w:rPr>
      </w:pPr>
    </w:p>
    <w:p w14:paraId="7172327E" w14:textId="77777777" w:rsidR="00894204" w:rsidRPr="00894204" w:rsidRDefault="00894204" w:rsidP="00894204">
      <w:pPr>
        <w:rPr>
          <w:rFonts w:ascii="Arial" w:hAnsi="Arial" w:cs="Arial"/>
        </w:rPr>
      </w:pPr>
    </w:p>
    <w:sectPr w:rsidR="00894204" w:rsidRPr="00894204" w:rsidSect="00894204">
      <w:type w:val="continuous"/>
      <w:pgSz w:w="23811" w:h="16838" w:orient="landscape" w:code="8"/>
      <w:pgMar w:top="288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D599" w14:textId="77777777" w:rsidR="001751DA" w:rsidRPr="00453C15" w:rsidRDefault="001751DA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0BC14E03" w14:textId="77777777" w:rsidR="001751DA" w:rsidRPr="00453C15" w:rsidRDefault="001751DA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06FAAC11" w14:textId="77777777" w:rsidR="001751DA" w:rsidRPr="00453C15" w:rsidRDefault="00175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30E2936C" w:rsidR="162A2F37" w:rsidRPr="00894204" w:rsidRDefault="00894204" w:rsidP="00894204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19AE" w14:textId="77777777" w:rsidR="001751DA" w:rsidRPr="00453C15" w:rsidRDefault="001751DA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515F3F2B" w14:textId="77777777" w:rsidR="001751DA" w:rsidRPr="00453C15" w:rsidRDefault="001751DA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08318CA4" w14:textId="77777777" w:rsidR="001751DA" w:rsidRPr="00453C15" w:rsidRDefault="001751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666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3D7"/>
    <w:rsid w:val="00026989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14E2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51DA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4C10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46A"/>
    <w:rsid w:val="001C5645"/>
    <w:rsid w:val="001C6513"/>
    <w:rsid w:val="001D10E6"/>
    <w:rsid w:val="001D1ED1"/>
    <w:rsid w:val="001D42E9"/>
    <w:rsid w:val="001D4307"/>
    <w:rsid w:val="001D4C67"/>
    <w:rsid w:val="001D7AC1"/>
    <w:rsid w:val="001D7E06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269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2F8E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1D2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5378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5FE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5E5"/>
    <w:rsid w:val="00333EB2"/>
    <w:rsid w:val="00334012"/>
    <w:rsid w:val="00334F91"/>
    <w:rsid w:val="00337264"/>
    <w:rsid w:val="0034086F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3764"/>
    <w:rsid w:val="0036422E"/>
    <w:rsid w:val="00365357"/>
    <w:rsid w:val="003658CE"/>
    <w:rsid w:val="0036617D"/>
    <w:rsid w:val="003665EF"/>
    <w:rsid w:val="003667A8"/>
    <w:rsid w:val="00367DEA"/>
    <w:rsid w:val="003706BA"/>
    <w:rsid w:val="0037254A"/>
    <w:rsid w:val="00373147"/>
    <w:rsid w:val="0037358C"/>
    <w:rsid w:val="0037394D"/>
    <w:rsid w:val="0037398C"/>
    <w:rsid w:val="00374FF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29D1"/>
    <w:rsid w:val="004630A3"/>
    <w:rsid w:val="00464A78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928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675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2E37"/>
    <w:rsid w:val="005832EC"/>
    <w:rsid w:val="00583883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5340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40D"/>
    <w:rsid w:val="006147E7"/>
    <w:rsid w:val="00614D3F"/>
    <w:rsid w:val="00615AB0"/>
    <w:rsid w:val="0061796E"/>
    <w:rsid w:val="006204EF"/>
    <w:rsid w:val="006211C4"/>
    <w:rsid w:val="006223DF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36B1A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30B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513DB"/>
    <w:rsid w:val="007519F5"/>
    <w:rsid w:val="00751AE6"/>
    <w:rsid w:val="007531A3"/>
    <w:rsid w:val="00753843"/>
    <w:rsid w:val="007539EA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761"/>
    <w:rsid w:val="007A1D67"/>
    <w:rsid w:val="007A2CE8"/>
    <w:rsid w:val="007A31C0"/>
    <w:rsid w:val="007A3B54"/>
    <w:rsid w:val="007B08CE"/>
    <w:rsid w:val="007B567D"/>
    <w:rsid w:val="007B5879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4204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49D6"/>
    <w:rsid w:val="00975211"/>
    <w:rsid w:val="00975368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001"/>
    <w:rsid w:val="009F5D97"/>
    <w:rsid w:val="009F69E6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734"/>
    <w:rsid w:val="00A57F04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390B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C19"/>
    <w:rsid w:val="00B049AE"/>
    <w:rsid w:val="00B055B9"/>
    <w:rsid w:val="00B064BE"/>
    <w:rsid w:val="00B06528"/>
    <w:rsid w:val="00B06E20"/>
    <w:rsid w:val="00B103BF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19B1"/>
    <w:rsid w:val="00B721A1"/>
    <w:rsid w:val="00B746CF"/>
    <w:rsid w:val="00B75CFC"/>
    <w:rsid w:val="00B80021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1CA5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A1695"/>
    <w:rsid w:val="00CA209B"/>
    <w:rsid w:val="00CA2FBF"/>
    <w:rsid w:val="00CA53C5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7F40"/>
    <w:rsid w:val="00D2111C"/>
    <w:rsid w:val="00D21150"/>
    <w:rsid w:val="00D21367"/>
    <w:rsid w:val="00D217E4"/>
    <w:rsid w:val="00D22931"/>
    <w:rsid w:val="00D23F76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3AC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7D3"/>
    <w:rsid w:val="00DB64CF"/>
    <w:rsid w:val="00DB6FD7"/>
    <w:rsid w:val="00DB7BC8"/>
    <w:rsid w:val="00DC133F"/>
    <w:rsid w:val="00DC1850"/>
    <w:rsid w:val="00DC25FB"/>
    <w:rsid w:val="00DC2DFC"/>
    <w:rsid w:val="00DC4048"/>
    <w:rsid w:val="00DC427A"/>
    <w:rsid w:val="00DC4BE0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04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3A0C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5B4E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07FB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AE2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894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2026-03-25T00:05:00Z</dcterms:created>
  <dcterms:modified xsi:type="dcterms:W3CDTF">2026-03-25T00:06:00Z</dcterms:modified>
</cp:coreProperties>
</file>